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17" w:rsidRPr="00743321" w:rsidRDefault="00B75F06" w:rsidP="00D30990">
      <w:pPr>
        <w:pStyle w:val="Heading1"/>
      </w:pPr>
      <w:r>
        <w:br/>
      </w:r>
      <w:r>
        <w:br/>
        <w:t xml:space="preserve">Overall Summary </w:t>
      </w:r>
      <w:r w:rsidR="00D068E2">
        <w:t xml:space="preserve">of </w:t>
      </w:r>
      <w:r w:rsidR="00D90BE0">
        <w:t xml:space="preserve">NTGR </w:t>
      </w:r>
      <w:r w:rsidR="00D068E2">
        <w:t>Analysis</w:t>
      </w:r>
    </w:p>
    <w:p w:rsidR="00D30990" w:rsidRDefault="00253217" w:rsidP="00D90BE0">
      <w:r w:rsidRPr="00743321">
        <w:t>This section is designed to provide the reader with a very high level overview of the recommended c</w:t>
      </w:r>
      <w:r w:rsidR="00A47C1C">
        <w:t>hanges in net to gross ratios (</w:t>
      </w:r>
      <w:r w:rsidRPr="00743321">
        <w:t xml:space="preserve">NTGR) as part of the DEER 2011 update. </w:t>
      </w:r>
      <w:r w:rsidR="00EA5FC8">
        <w:t xml:space="preserve"> </w:t>
      </w:r>
      <w:r w:rsidR="00AE5326" w:rsidRPr="00743321">
        <w:t xml:space="preserve">The </w:t>
      </w:r>
      <w:r w:rsidR="00743321" w:rsidRPr="00743321">
        <w:t>m</w:t>
      </w:r>
      <w:r w:rsidR="00AE5326" w:rsidRPr="00743321">
        <w:t xml:space="preserve">aster table below provides a useful historical perspective on how net to gross ratios for specific measure delivered </w:t>
      </w:r>
      <w:r w:rsidR="00A47C1C">
        <w:t>using a</w:t>
      </w:r>
      <w:r w:rsidR="00AE5326" w:rsidRPr="00743321">
        <w:t xml:space="preserve"> specific program delivery</w:t>
      </w:r>
      <w:r w:rsidR="00A47C1C">
        <w:t xml:space="preserve"> method have evolved over </w:t>
      </w:r>
      <w:r w:rsidR="00AE5326" w:rsidRPr="00743321">
        <w:t>the last five years.  For each measure</w:t>
      </w:r>
      <w:r w:rsidR="00291F7B">
        <w:t>,</w:t>
      </w:r>
      <w:r w:rsidR="00AE5326" w:rsidRPr="00743321">
        <w:t xml:space="preserve"> the table </w:t>
      </w:r>
      <w:r w:rsidR="000419C3">
        <w:t>summarizes</w:t>
      </w:r>
      <w:r w:rsidR="000419C3" w:rsidRPr="00743321">
        <w:t xml:space="preserve"> </w:t>
      </w:r>
      <w:r w:rsidR="00AE5326" w:rsidRPr="00743321">
        <w:t xml:space="preserve">the NTGR value, source and method used to derive the value </w:t>
      </w:r>
      <w:r w:rsidR="00291F7B">
        <w:t>for</w:t>
      </w:r>
      <w:r w:rsidR="00AE5326" w:rsidRPr="00743321">
        <w:t xml:space="preserve"> the 2008 DEER v2.05, the most recent evaluations of 2006-08 programs and the recommended NTGR value for the 2011 DEER update.  The table provide</w:t>
      </w:r>
      <w:r w:rsidR="000419C3">
        <w:t>s</w:t>
      </w:r>
      <w:r w:rsidR="00AE5326" w:rsidRPr="00743321">
        <w:t xml:space="preserve"> an overall perspective on how the methods used to derive the NTGR values and the </w:t>
      </w:r>
      <w:r w:rsidR="00D30990">
        <w:t xml:space="preserve">NTGR </w:t>
      </w:r>
      <w:r w:rsidR="00AE5326" w:rsidRPr="00743321">
        <w:t>values thems</w:t>
      </w:r>
      <w:r w:rsidRPr="00743321">
        <w:t>elves have evolved over time.</w:t>
      </w:r>
    </w:p>
    <w:p w:rsidR="00AE5326" w:rsidRDefault="00253217" w:rsidP="0058281D">
      <w:pPr>
        <w:spacing w:after="120"/>
        <w:rPr>
          <w:rFonts w:ascii="Arial" w:hAnsi="Arial" w:cs="Arial"/>
        </w:rPr>
      </w:pPr>
      <w:r w:rsidRPr="00743321">
        <w:t xml:space="preserve"> In addition</w:t>
      </w:r>
      <w:r w:rsidR="000419C3">
        <w:t>,</w:t>
      </w:r>
      <w:r w:rsidRPr="00743321">
        <w:t xml:space="preserve"> the table </w:t>
      </w:r>
      <w:r w:rsidR="0058281D">
        <w:t>highlights</w:t>
      </w:r>
      <w:r w:rsidR="000419C3" w:rsidRPr="00743321">
        <w:t xml:space="preserve"> </w:t>
      </w:r>
      <w:r w:rsidRPr="00743321">
        <w:t xml:space="preserve">the magnitude of </w:t>
      </w:r>
      <w:r w:rsidR="000419C3">
        <w:t xml:space="preserve">the </w:t>
      </w:r>
      <w:r w:rsidRPr="00743321">
        <w:t>proposed changes for 2011 compared to the values in the 2008 version of DEER using a color code described immediately above th</w:t>
      </w:r>
      <w:r w:rsidR="00EA5FC8">
        <w:t>e</w:t>
      </w:r>
      <w:r w:rsidRPr="00743321">
        <w:t xml:space="preserve"> table.  The color codes identify measures where the proposed NTGR values for 2011 have changed by more than 50% (yellow) or between 20 and 50% (green code) relative to the values in the 2008 DEER data base.</w:t>
      </w:r>
      <w:r w:rsidR="00EA5FC8">
        <w:t xml:space="preserve"> </w:t>
      </w:r>
      <w:r w:rsidRPr="00743321">
        <w:t xml:space="preserve"> </w:t>
      </w:r>
      <w:fldSimple w:instr=" REF _Ref307574917 ">
        <w:r w:rsidR="00FF0706" w:rsidRPr="00D90BE0">
          <w:t xml:space="preserve">Table </w:t>
        </w:r>
        <w:r w:rsidR="00FF0706">
          <w:rPr>
            <w:noProof/>
          </w:rPr>
          <w:t>6</w:t>
        </w:r>
        <w:r w:rsidR="00FF0706">
          <w:noBreakHyphen/>
        </w:r>
        <w:r w:rsidR="00FF0706">
          <w:rPr>
            <w:noProof/>
          </w:rPr>
          <w:t>1</w:t>
        </w:r>
      </w:fldSimple>
      <w:r w:rsidR="00D90BE0">
        <w:t xml:space="preserve"> </w:t>
      </w:r>
      <w:r w:rsidR="0016567C">
        <w:t>summarizes</w:t>
      </w:r>
      <w:r w:rsidR="0016567C" w:rsidRPr="00743321">
        <w:t xml:space="preserve"> </w:t>
      </w:r>
      <w:r w:rsidRPr="00743321">
        <w:t xml:space="preserve">all of this data </w:t>
      </w:r>
      <w:r w:rsidR="00743321" w:rsidRPr="00743321">
        <w:t xml:space="preserve">grouped by technology </w:t>
      </w:r>
      <w:r w:rsidR="00A47C1C">
        <w:t>and market segment</w:t>
      </w:r>
      <w:r w:rsidR="00743321">
        <w:rPr>
          <w:rFonts w:ascii="Arial" w:hAnsi="Arial" w:cs="Arial"/>
        </w:rPr>
        <w:t>.</w:t>
      </w:r>
      <w:r w:rsidR="00743321" w:rsidRPr="00EA5FC8">
        <w:t xml:space="preserve"> </w:t>
      </w:r>
      <w:r w:rsidR="00EA5FC8" w:rsidRPr="00EA5FC8">
        <w:t xml:space="preserve"> The </w:t>
      </w:r>
      <w:r w:rsidR="00EA5FC8">
        <w:t>table uses a consolidated list of Program Delivery Methods that are defined as follows: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CIDN</w:t>
      </w:r>
      <w:r w:rsidRPr="0058281D">
        <w:rPr>
          <w:sz w:val="21"/>
          <w:szCs w:val="21"/>
        </w:rPr>
        <w:t>: Custom or Calculated Incentive based on site or project related parameters; paid downstream to customer.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CIDI</w:t>
      </w:r>
      <w:r w:rsidRPr="0058281D">
        <w:rPr>
          <w:sz w:val="21"/>
          <w:szCs w:val="21"/>
        </w:rPr>
        <w:t>: Custom or Calculated Incentive based on site or project related parameters; paid to a contractor (Direct Install or Mid-stream).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CI</w:t>
      </w:r>
      <w:r w:rsidRPr="0058281D">
        <w:rPr>
          <w:sz w:val="21"/>
          <w:szCs w:val="21"/>
        </w:rPr>
        <w:t>: Custom or Calculated Incentive based on site or project parameters; paid to either a contractor (Direct Install or Mid-stream) or customer (Indexes 1 &amp;2).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DI</w:t>
      </w:r>
      <w:r w:rsidRPr="0058281D">
        <w:rPr>
          <w:sz w:val="21"/>
          <w:szCs w:val="21"/>
        </w:rPr>
        <w:t>: Custom or Prescriptive incentive or reimbursement for services; paid to a contractor (Direct Install or Mid-stream) (Indexes 2 &amp; 6).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PRDN</w:t>
      </w:r>
      <w:r w:rsidRPr="0058281D">
        <w:rPr>
          <w:sz w:val="21"/>
          <w:szCs w:val="21"/>
        </w:rPr>
        <w:t>: Prescriptive (fixed) rebate; paid downstream to customer.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PRDI</w:t>
      </w:r>
      <w:r w:rsidRPr="0058281D">
        <w:rPr>
          <w:sz w:val="21"/>
          <w:szCs w:val="21"/>
        </w:rPr>
        <w:t>: Prescriptive (fixed) rebate or reimbursement for services; paid downstream or midstream to contractor (Direct install or midstream).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PR</w:t>
      </w:r>
      <w:r w:rsidRPr="0058281D">
        <w:rPr>
          <w:sz w:val="21"/>
          <w:szCs w:val="21"/>
        </w:rPr>
        <w:t>: Prescriptive (fixed) rebate or reimbursement for services; paid to either a contractor (Direct Install or Mid-stream) or customer (Indexes 5 &amp; 6).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OBF</w:t>
      </w:r>
      <w:r w:rsidRPr="0058281D">
        <w:rPr>
          <w:sz w:val="21"/>
          <w:szCs w:val="21"/>
        </w:rPr>
        <w:t>: Custom or prescriptive incentive in form of financing; paid to customer via on bill financing.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PRUP</w:t>
      </w:r>
      <w:r w:rsidRPr="0058281D">
        <w:rPr>
          <w:sz w:val="21"/>
          <w:szCs w:val="21"/>
        </w:rPr>
        <w:t>: Prescriptive (fixed) rebate; paid upstream to manufacturer or distributor.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DSVC</w:t>
      </w:r>
      <w:r w:rsidRPr="0058281D">
        <w:rPr>
          <w:sz w:val="21"/>
          <w:szCs w:val="21"/>
        </w:rPr>
        <w:t>: Service provided by the implementer at no cost to the participant. Example: free pump tests from SCE Hydraulic Services Group, etc.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ALL</w:t>
      </w:r>
      <w:r w:rsidRPr="0058281D">
        <w:rPr>
          <w:sz w:val="21"/>
          <w:szCs w:val="21"/>
        </w:rPr>
        <w:t>: All program delivery methods (Indexes 1 - 10).</w:t>
      </w:r>
    </w:p>
    <w:p w:rsidR="005A457F" w:rsidRPr="0058281D" w:rsidRDefault="005A457F" w:rsidP="005A457F">
      <w:pPr>
        <w:pStyle w:val="ListParagraph"/>
        <w:numPr>
          <w:ilvl w:val="0"/>
          <w:numId w:val="47"/>
        </w:numPr>
        <w:spacing w:after="0" w:line="240" w:lineRule="auto"/>
        <w:rPr>
          <w:sz w:val="21"/>
          <w:szCs w:val="21"/>
        </w:rPr>
      </w:pPr>
      <w:r w:rsidRPr="0058281D">
        <w:rPr>
          <w:b/>
          <w:sz w:val="21"/>
          <w:szCs w:val="21"/>
        </w:rPr>
        <w:t>ALLXDI</w:t>
      </w:r>
      <w:r w:rsidRPr="0058281D">
        <w:rPr>
          <w:sz w:val="21"/>
          <w:szCs w:val="21"/>
        </w:rPr>
        <w:t>: All program delivery methods except Direct Install (Indexes 1, 5, 8, 9, &amp; 10).</w:t>
      </w:r>
    </w:p>
    <w:p w:rsidR="00D90BE0" w:rsidRPr="0058281D" w:rsidRDefault="00D90BE0" w:rsidP="00D90BE0">
      <w:pPr>
        <w:rPr>
          <w:sz w:val="21"/>
          <w:szCs w:val="21"/>
        </w:rPr>
        <w:sectPr w:rsidR="00D90BE0" w:rsidRPr="0058281D" w:rsidSect="00D90BE0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1440" w:right="1440" w:bottom="1440" w:left="1440" w:header="720" w:footer="720" w:gutter="0"/>
          <w:pgNumType w:start="1" w:chapStyle="1"/>
          <w:cols w:space="720"/>
          <w:titlePg/>
          <w:docGrid w:linePitch="326"/>
        </w:sectPr>
      </w:pPr>
    </w:p>
    <w:p w:rsidR="00D90BE0" w:rsidRPr="00D90BE0" w:rsidRDefault="00D90BE0" w:rsidP="00D90BE0">
      <w:pPr>
        <w:pStyle w:val="Caption"/>
      </w:pPr>
      <w:bookmarkStart w:id="0" w:name="_Ref307574917"/>
      <w:r w:rsidRPr="00D90BE0">
        <w:lastRenderedPageBreak/>
        <w:t xml:space="preserve">Table </w:t>
      </w:r>
      <w:fldSimple w:instr=" STYLEREF 1 \s ">
        <w:r w:rsidR="00FF0706">
          <w:rPr>
            <w:noProof/>
          </w:rPr>
          <w:t>6</w:t>
        </w:r>
      </w:fldSimple>
      <w:r w:rsidR="00D30990">
        <w:noBreakHyphen/>
      </w:r>
      <w:fldSimple w:instr=" SEQ Table \* ARABIC \s 1 ">
        <w:r w:rsidR="00FF0706">
          <w:rPr>
            <w:noProof/>
          </w:rPr>
          <w:t>1</w:t>
        </w:r>
      </w:fldSimple>
      <w:bookmarkEnd w:id="0"/>
      <w:r w:rsidRPr="00D90BE0">
        <w:t xml:space="preserve">:  </w:t>
      </w:r>
      <w:r w:rsidRPr="00D90BE0">
        <w:rPr>
          <w:szCs w:val="20"/>
        </w:rPr>
        <w:t xml:space="preserve">Master Table of NTGR for </w:t>
      </w:r>
      <w:r w:rsidRPr="00D90BE0">
        <w:t>Specific Measure</w:t>
      </w:r>
      <w:r w:rsidRPr="00D90BE0">
        <w:rPr>
          <w:szCs w:val="20"/>
        </w:rPr>
        <w:t xml:space="preserve">/Delivery </w:t>
      </w:r>
      <w:r w:rsidRPr="00D90BE0">
        <w:t>Combinations Over Time</w:t>
      </w:r>
    </w:p>
    <w:sdt>
      <w:sdtPr>
        <w:rPr>
          <w:sz w:val="16"/>
          <w:szCs w:val="20"/>
        </w:rPr>
        <w:id w:val="12761179"/>
        <w:docPartObj>
          <w:docPartGallery w:val="Cover Pages"/>
          <w:docPartUnique/>
        </w:docPartObj>
      </w:sdtPr>
      <w:sdtContent>
        <w:p w:rsidR="00C35860" w:rsidRPr="00D90BE0" w:rsidRDefault="00030986" w:rsidP="003518EC">
          <w:pPr>
            <w:spacing w:after="120" w:line="240" w:lineRule="auto"/>
            <w:jc w:val="left"/>
            <w:rPr>
              <w:sz w:val="16"/>
              <w:szCs w:val="20"/>
            </w:rPr>
          </w:pPr>
          <w:r w:rsidRPr="00D90BE0">
            <w:rPr>
              <w:sz w:val="16"/>
              <w:szCs w:val="20"/>
            </w:rPr>
            <w:t xml:space="preserve">Key to </w:t>
          </w:r>
          <w:r w:rsidR="00655C13" w:rsidRPr="00D90BE0">
            <w:rPr>
              <w:sz w:val="16"/>
              <w:szCs w:val="20"/>
            </w:rPr>
            <w:t xml:space="preserve">Highlight </w:t>
          </w:r>
          <w:r w:rsidR="00F26AE0" w:rsidRPr="00D90BE0">
            <w:rPr>
              <w:sz w:val="16"/>
              <w:szCs w:val="20"/>
            </w:rPr>
            <w:t xml:space="preserve">Colors for Changes </w:t>
          </w:r>
          <w:r w:rsidRPr="00D90BE0">
            <w:rPr>
              <w:sz w:val="16"/>
              <w:szCs w:val="20"/>
            </w:rPr>
            <w:t xml:space="preserve">in </w:t>
          </w:r>
          <w:r w:rsidR="003518EC" w:rsidRPr="00D90BE0">
            <w:rPr>
              <w:sz w:val="16"/>
              <w:szCs w:val="20"/>
            </w:rPr>
            <w:t>V</w:t>
          </w:r>
          <w:r w:rsidR="00F13136" w:rsidRPr="00D90BE0">
            <w:rPr>
              <w:sz w:val="16"/>
              <w:szCs w:val="20"/>
            </w:rPr>
            <w:t>alue</w:t>
          </w:r>
          <w:r w:rsidRPr="00D90BE0">
            <w:rPr>
              <w:sz w:val="16"/>
              <w:szCs w:val="20"/>
            </w:rPr>
            <w:t xml:space="preserve">s from </w:t>
          </w:r>
          <w:r w:rsidR="00F26AE0" w:rsidRPr="00D90BE0">
            <w:rPr>
              <w:sz w:val="16"/>
              <w:szCs w:val="20"/>
            </w:rPr>
            <w:t xml:space="preserve">the </w:t>
          </w:r>
          <w:r w:rsidRPr="00D90BE0">
            <w:rPr>
              <w:sz w:val="16"/>
              <w:szCs w:val="20"/>
            </w:rPr>
            <w:t xml:space="preserve">2008 DEER to </w:t>
          </w:r>
          <w:r w:rsidR="00F26AE0" w:rsidRPr="00D90BE0">
            <w:rPr>
              <w:sz w:val="16"/>
              <w:szCs w:val="20"/>
            </w:rPr>
            <w:t xml:space="preserve">the Recommended </w:t>
          </w:r>
          <w:r w:rsidRPr="00D90BE0">
            <w:rPr>
              <w:sz w:val="16"/>
              <w:szCs w:val="20"/>
            </w:rPr>
            <w:t>2011 DEER Updates</w:t>
          </w:r>
          <w:r w:rsidR="00F8172A" w:rsidRPr="00D90BE0">
            <w:rPr>
              <w:sz w:val="16"/>
              <w:szCs w:val="20"/>
            </w:rPr>
            <w:t>:</w:t>
          </w:r>
          <w:r w:rsidR="00B41371" w:rsidRPr="00D90BE0">
            <w:rPr>
              <w:sz w:val="16"/>
              <w:szCs w:val="20"/>
            </w:rPr>
            <w:t xml:space="preserve">  </w:t>
          </w:r>
          <w:r w:rsidR="00B41371" w:rsidRPr="00D90BE0">
            <w:rPr>
              <w:sz w:val="16"/>
              <w:szCs w:val="20"/>
              <w:bdr w:val="single" w:sz="2" w:space="0" w:color="000000"/>
            </w:rPr>
            <w:t>&lt;10%</w:t>
          </w:r>
          <w:r w:rsidR="00B41371" w:rsidRPr="00D90BE0">
            <w:rPr>
              <w:sz w:val="16"/>
              <w:szCs w:val="20"/>
            </w:rPr>
            <w:t xml:space="preserve">, </w:t>
          </w:r>
          <w:r w:rsidR="00F8172A" w:rsidRPr="00D90BE0">
            <w:rPr>
              <w:sz w:val="16"/>
              <w:szCs w:val="20"/>
              <w:highlight w:val="cyan"/>
              <w:bdr w:val="single" w:sz="6" w:space="0" w:color="000000"/>
            </w:rPr>
            <w:t>10% to 20%</w:t>
          </w:r>
          <w:r w:rsidR="00F8172A" w:rsidRPr="00D90BE0">
            <w:rPr>
              <w:sz w:val="16"/>
              <w:szCs w:val="20"/>
            </w:rPr>
            <w:t xml:space="preserve">, </w:t>
          </w:r>
          <w:r w:rsidR="00B41371" w:rsidRPr="00D90BE0">
            <w:rPr>
              <w:sz w:val="16"/>
              <w:szCs w:val="20"/>
              <w:highlight w:val="green"/>
              <w:bdr w:val="single" w:sz="6" w:space="0" w:color="000000"/>
            </w:rPr>
            <w:t>&gt;20</w:t>
          </w:r>
          <w:r w:rsidR="003518EC" w:rsidRPr="00D90BE0">
            <w:rPr>
              <w:sz w:val="16"/>
              <w:szCs w:val="20"/>
              <w:highlight w:val="green"/>
              <w:bdr w:val="single" w:sz="6" w:space="0" w:color="000000"/>
            </w:rPr>
            <w:t>% to 50</w:t>
          </w:r>
          <w:r w:rsidR="00F8172A" w:rsidRPr="00D90BE0">
            <w:rPr>
              <w:sz w:val="16"/>
              <w:szCs w:val="20"/>
              <w:highlight w:val="green"/>
              <w:bdr w:val="single" w:sz="6" w:space="0" w:color="000000"/>
            </w:rPr>
            <w:t>%</w:t>
          </w:r>
          <w:r w:rsidR="00F8172A" w:rsidRPr="00D90BE0">
            <w:rPr>
              <w:sz w:val="16"/>
              <w:szCs w:val="20"/>
            </w:rPr>
            <w:t xml:space="preserve">, </w:t>
          </w:r>
          <w:r w:rsidR="00F8172A" w:rsidRPr="00D90BE0">
            <w:rPr>
              <w:sz w:val="16"/>
              <w:szCs w:val="20"/>
              <w:highlight w:val="yellow"/>
              <w:bdr w:val="single" w:sz="6" w:space="0" w:color="000000"/>
            </w:rPr>
            <w:t>&gt;</w:t>
          </w:r>
          <w:r w:rsidR="003518EC" w:rsidRPr="00D90BE0">
            <w:rPr>
              <w:sz w:val="16"/>
              <w:szCs w:val="20"/>
              <w:highlight w:val="yellow"/>
              <w:bdr w:val="single" w:sz="6" w:space="0" w:color="000000"/>
            </w:rPr>
            <w:t>50%</w:t>
          </w:r>
        </w:p>
      </w:sdtContent>
    </w:sdt>
    <w:tbl>
      <w:tblPr>
        <w:tblStyle w:val="TableProfessional"/>
        <w:tblW w:w="5129" w:type="pct"/>
        <w:jc w:val="center"/>
        <w:tblLayout w:type="fixed"/>
        <w:tblCellMar>
          <w:left w:w="43" w:type="dxa"/>
          <w:right w:w="43" w:type="dxa"/>
        </w:tblCellMar>
        <w:tblLook w:val="04A0"/>
      </w:tblPr>
      <w:tblGrid>
        <w:gridCol w:w="1077"/>
        <w:gridCol w:w="712"/>
        <w:gridCol w:w="1065"/>
        <w:gridCol w:w="870"/>
        <w:gridCol w:w="1170"/>
        <w:gridCol w:w="899"/>
        <w:gridCol w:w="990"/>
        <w:gridCol w:w="1349"/>
        <w:gridCol w:w="990"/>
        <w:gridCol w:w="1079"/>
        <w:gridCol w:w="1081"/>
        <w:gridCol w:w="990"/>
        <w:gridCol w:w="1111"/>
      </w:tblGrid>
      <w:tr w:rsidR="00FC0A1D" w:rsidRPr="00D90BE0" w:rsidTr="00E13281">
        <w:trPr>
          <w:cnfStyle w:val="100000000000"/>
          <w:cantSplit/>
          <w:trHeight w:val="206"/>
          <w:tblHeader/>
          <w:jc w:val="center"/>
        </w:trPr>
        <w:tc>
          <w:tcPr>
            <w:tcW w:w="402" w:type="pct"/>
            <w:vMerge w:val="restart"/>
            <w:tcBorders>
              <w:top w:val="single" w:sz="12" w:space="0" w:color="auto"/>
              <w:left w:val="single" w:sz="12" w:space="0" w:color="000000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EEM</w:t>
            </w:r>
          </w:p>
        </w:tc>
        <w:tc>
          <w:tcPr>
            <w:tcW w:w="266" w:type="pct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Sector</w:t>
            </w:r>
          </w:p>
        </w:tc>
        <w:tc>
          <w:tcPr>
            <w:tcW w:w="398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Program Delivery Methods</w:t>
            </w:r>
            <w:r>
              <w:rPr>
                <w:sz w:val="16"/>
                <w:szCs w:val="16"/>
              </w:rPr>
              <w:t>*</w:t>
            </w:r>
          </w:p>
        </w:tc>
        <w:tc>
          <w:tcPr>
            <w:tcW w:w="1098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2008 DEER v2.05</w:t>
            </w:r>
          </w:p>
        </w:tc>
        <w:tc>
          <w:tcPr>
            <w:tcW w:w="1244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2006 – 2008 Evaluation Studies</w:t>
            </w:r>
          </w:p>
        </w:tc>
        <w:tc>
          <w:tcPr>
            <w:tcW w:w="1592" w:type="pct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Recommended 2011 DEER Updates</w:t>
            </w:r>
          </w:p>
        </w:tc>
      </w:tr>
      <w:tr w:rsidR="00FF0706" w:rsidRPr="00D90BE0" w:rsidTr="00E13281">
        <w:trPr>
          <w:cnfStyle w:val="100000000000"/>
          <w:cantSplit/>
          <w:trHeight w:val="206"/>
          <w:tblHeader/>
          <w:jc w:val="center"/>
        </w:trPr>
        <w:tc>
          <w:tcPr>
            <w:tcW w:w="402" w:type="pct"/>
            <w:vMerge/>
            <w:tcBorders>
              <w:top w:val="single" w:sz="6" w:space="0" w:color="auto"/>
              <w:left w:val="single" w:sz="12" w:space="0" w:color="000000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pct"/>
            <w:vMerge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pct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25" w:type="pct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NTGR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Source</w:t>
            </w:r>
          </w:p>
        </w:tc>
        <w:tc>
          <w:tcPr>
            <w:tcW w:w="33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Method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Source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NTGR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Method</w:t>
            </w:r>
          </w:p>
        </w:tc>
        <w:tc>
          <w:tcPr>
            <w:tcW w:w="403" w:type="pct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NTGR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Building Types or </w:t>
            </w:r>
          </w:p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Sales Channels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Utility Specific or Statewide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000000"/>
            </w:tcBorders>
            <w:shd w:val="clear" w:color="auto" w:fill="D9D9D9" w:themeFill="background1" w:themeFillShade="D9"/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Proposed Adjustments for 2013-2014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t>Non-Residential Lighting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000000"/>
              <w:left w:val="single" w:sz="12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hadow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CFLs</w:t>
            </w:r>
            <w:r w:rsidRPr="00D90BE0">
              <w:rPr>
                <w:shadow/>
                <w:sz w:val="16"/>
                <w:szCs w:val="16"/>
              </w:rPr>
              <w:t xml:space="preserve"> </w:t>
            </w:r>
          </w:p>
        </w:tc>
        <w:tc>
          <w:tcPr>
            <w:tcW w:w="266" w:type="pct"/>
            <w:tcBorders>
              <w:top w:val="single" w:sz="8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hadow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4"/>
                <w:sz w:val="16"/>
                <w:szCs w:val="16"/>
              </w:rPr>
            </w:pPr>
            <w:r>
              <w:rPr>
                <w:rFonts w:eastAsia="Calibri"/>
                <w:color w:val="000000"/>
                <w:kern w:val="24"/>
                <w:sz w:val="16"/>
                <w:szCs w:val="16"/>
              </w:rPr>
              <w:t>PRDN or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 </w:t>
            </w:r>
            <w:r w:rsidRPr="00334D41">
              <w:rPr>
                <w:rFonts w:eastAsia="Calibri"/>
                <w:color w:val="000000"/>
                <w:kern w:val="24"/>
                <w:sz w:val="16"/>
                <w:szCs w:val="16"/>
              </w:rPr>
              <w:t>C</w:t>
            </w:r>
            <w:r>
              <w:rPr>
                <w:rFonts w:eastAsia="Calibri"/>
                <w:color w:val="000000"/>
                <w:kern w:val="24"/>
                <w:sz w:val="16"/>
                <w:szCs w:val="16"/>
              </w:rPr>
              <w:t>I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hadow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0.81</w:t>
            </w:r>
            <w:r w:rsidRPr="00D90BE0">
              <w:rPr>
                <w:rFonts w:eastAsia="Calibri"/>
                <w:shadow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37" w:type="pct"/>
            <w:tcBorders>
              <w:top w:val="single" w:sz="8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rPr>
                <w:shadow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0405 Express Efficiency</w:t>
            </w:r>
          </w:p>
        </w:tc>
        <w:tc>
          <w:tcPr>
            <w:tcW w:w="336" w:type="pct"/>
            <w:tcBorders>
              <w:top w:val="single" w:sz="8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hadow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000000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0608 Small Commercial Contract Group (SCCG)</w:t>
            </w:r>
          </w:p>
        </w:tc>
        <w:tc>
          <w:tcPr>
            <w:tcW w:w="504" w:type="pct"/>
            <w:tcBorders>
              <w:top w:val="single" w:sz="8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keepNext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0.53 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12" w:space="0" w:color="auto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pStyle w:val="NormalWeb"/>
              <w:tabs>
                <w:tab w:val="decimal" w:pos="407"/>
              </w:tabs>
              <w:spacing w:before="0" w:beforeAutospacing="0" w:after="0" w:afterAutospacing="0"/>
              <w:rPr>
                <w:rFonts w:eastAsia="Calibri"/>
                <w:color w:val="000000"/>
                <w:kern w:val="24"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  <w:highlight w:val="green"/>
              </w:rPr>
              <w:t>0.53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 kWh</w:t>
            </w:r>
          </w:p>
          <w:p w:rsidR="00FC0A1D" w:rsidRPr="00D90BE0" w:rsidRDefault="00FC0A1D" w:rsidP="00E13281">
            <w:pPr>
              <w:pStyle w:val="NormalWeb"/>
              <w:tabs>
                <w:tab w:val="decimal" w:pos="407"/>
              </w:tabs>
              <w:spacing w:before="0" w:beforeAutospacing="0" w:after="0" w:afterAutospacing="0"/>
              <w:rPr>
                <w:shadow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  <w:highlight w:val="green"/>
              </w:rPr>
              <w:t>0.57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 kW</w:t>
            </w:r>
            <w:r w:rsidRPr="00D90BE0">
              <w:rPr>
                <w:rFonts w:eastAsia="Calibri"/>
                <w:shadow/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404" w:type="pct"/>
            <w:tcBorders>
              <w:top w:val="single" w:sz="8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hadow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  <w:r w:rsidRPr="003C39BE">
              <w:rPr>
                <w:rStyle w:val="FootnoteReference"/>
              </w:rPr>
              <w:footnoteReference w:id="1"/>
            </w:r>
          </w:p>
        </w:tc>
        <w:tc>
          <w:tcPr>
            <w:tcW w:w="370" w:type="pct"/>
            <w:tcBorders>
              <w:top w:val="single" w:sz="8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hadow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000000"/>
              <w:bottom w:val="single" w:sz="8" w:space="0" w:color="auto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hadow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auto"/>
              <w:left w:val="single" w:sz="12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40" w:beforeAutospacing="0" w:after="40" w:afterAutospacing="0" w:line="320" w:lineRule="exact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CFLs</w:t>
            </w:r>
          </w:p>
        </w:tc>
        <w:tc>
          <w:tcPr>
            <w:tcW w:w="2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40" w:beforeAutospacing="0" w:after="40" w:afterAutospacing="0" w:line="320" w:lineRule="exact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Default="00FC0A1D" w:rsidP="00E13281">
            <w:pPr>
              <w:pStyle w:val="NormalWeb"/>
              <w:spacing w:before="40" w:beforeAutospacing="0" w:after="40" w:afterAutospacing="0" w:line="320" w:lineRule="exact"/>
              <w:jc w:val="center"/>
              <w:rPr>
                <w:rFonts w:eastAsia="Calibri"/>
                <w:color w:val="000000"/>
                <w:kern w:val="24"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DI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40" w:beforeAutospacing="0" w:after="40" w:afterAutospacing="0" w:line="320" w:lineRule="exact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0.85 </w:t>
            </w:r>
          </w:p>
        </w:tc>
        <w:tc>
          <w:tcPr>
            <w:tcW w:w="43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0405 SDG&amp;E Small Business</w:t>
            </w:r>
          </w:p>
        </w:tc>
        <w:tc>
          <w:tcPr>
            <w:tcW w:w="336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0608 SCCG  Report</w:t>
            </w:r>
          </w:p>
        </w:tc>
        <w:tc>
          <w:tcPr>
            <w:tcW w:w="5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40" w:beforeAutospacing="0" w:after="40" w:afterAutospacing="0" w:line="320" w:lineRule="exact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0.80 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40" w:beforeAutospacing="0" w:after="40" w:afterAutospacing="0" w:line="320" w:lineRule="exact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0.80</w:t>
            </w:r>
          </w:p>
        </w:tc>
        <w:tc>
          <w:tcPr>
            <w:tcW w:w="4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  <w:r w:rsidRPr="00D90BE0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FC0A1D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auto"/>
              <w:left w:val="single" w:sz="12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Linear Fluorescents</w:t>
            </w:r>
            <w:r w:rsidRPr="003C39BE">
              <w:rPr>
                <w:rStyle w:val="FootnoteReference"/>
              </w:rPr>
              <w:footnoteReference w:id="2"/>
            </w:r>
          </w:p>
        </w:tc>
        <w:tc>
          <w:tcPr>
            <w:tcW w:w="2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rFonts w:eastAsia="Calibri"/>
                <w:color w:val="000000"/>
                <w:kern w:val="24"/>
                <w:sz w:val="16"/>
                <w:szCs w:val="16"/>
              </w:rPr>
            </w:pPr>
            <w:r>
              <w:rPr>
                <w:rFonts w:eastAsia="Calibri"/>
                <w:color w:val="000000"/>
                <w:kern w:val="24"/>
                <w:sz w:val="16"/>
                <w:szCs w:val="16"/>
              </w:rPr>
              <w:t>PR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D</w:t>
            </w:r>
            <w:r>
              <w:rPr>
                <w:rFonts w:eastAsia="Calibri"/>
                <w:color w:val="000000"/>
                <w:kern w:val="24"/>
                <w:sz w:val="16"/>
                <w:szCs w:val="16"/>
              </w:rPr>
              <w:t>N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 </w:t>
            </w:r>
            <w:r w:rsidRPr="00334D41">
              <w:rPr>
                <w:rFonts w:eastAsia="Calibri"/>
                <w:color w:val="000000"/>
                <w:kern w:val="24"/>
                <w:sz w:val="16"/>
                <w:szCs w:val="16"/>
              </w:rPr>
              <w:t>or C</w:t>
            </w:r>
            <w:r>
              <w:rPr>
                <w:rFonts w:eastAsia="Calibri"/>
                <w:color w:val="000000"/>
                <w:kern w:val="24"/>
                <w:sz w:val="16"/>
                <w:szCs w:val="16"/>
              </w:rPr>
              <w:t>I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0.78 </w:t>
            </w:r>
          </w:p>
        </w:tc>
        <w:tc>
          <w:tcPr>
            <w:tcW w:w="43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0405 Express Efficiency</w:t>
            </w:r>
          </w:p>
        </w:tc>
        <w:tc>
          <w:tcPr>
            <w:tcW w:w="336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FC0A1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 &amp; Discrete Choice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0608 SCCG  Report</w:t>
            </w:r>
          </w:p>
        </w:tc>
        <w:tc>
          <w:tcPr>
            <w:tcW w:w="5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0.70 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FC0A1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 &amp; Discrete Choice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  <w:highlight w:val="cyan"/>
              </w:rPr>
              <w:t>0.70</w:t>
            </w:r>
          </w:p>
        </w:tc>
        <w:tc>
          <w:tcPr>
            <w:tcW w:w="4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  <w:r w:rsidRPr="00D90BE0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FC0A1D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auto"/>
              <w:left w:val="single" w:sz="12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Linear Fluorescents</w:t>
            </w:r>
          </w:p>
        </w:tc>
        <w:tc>
          <w:tcPr>
            <w:tcW w:w="2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DI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0.85 </w:t>
            </w:r>
          </w:p>
        </w:tc>
        <w:tc>
          <w:tcPr>
            <w:tcW w:w="43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0405 SDG&amp;E Small Business</w:t>
            </w:r>
          </w:p>
        </w:tc>
        <w:tc>
          <w:tcPr>
            <w:tcW w:w="336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FC0A1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 &amp; Discrete Choice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0608 SCCG  Report</w:t>
            </w:r>
          </w:p>
        </w:tc>
        <w:tc>
          <w:tcPr>
            <w:tcW w:w="5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0.89 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FC0A1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 &amp; Discrete Choice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0.89</w:t>
            </w:r>
          </w:p>
        </w:tc>
        <w:tc>
          <w:tcPr>
            <w:tcW w:w="4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  <w:r w:rsidRPr="00D90BE0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auto"/>
              <w:left w:val="single" w:sz="12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Lighting Controls</w:t>
            </w:r>
          </w:p>
        </w:tc>
        <w:tc>
          <w:tcPr>
            <w:tcW w:w="2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kern w:val="24"/>
                <w:sz w:val="16"/>
                <w:szCs w:val="16"/>
              </w:rPr>
              <w:t>PR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D</w:t>
            </w:r>
            <w:r>
              <w:rPr>
                <w:rFonts w:eastAsia="Calibri"/>
                <w:color w:val="000000"/>
                <w:kern w:val="24"/>
                <w:sz w:val="16"/>
                <w:szCs w:val="16"/>
              </w:rPr>
              <w:t>N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0.84</w:t>
            </w:r>
          </w:p>
        </w:tc>
        <w:tc>
          <w:tcPr>
            <w:tcW w:w="43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0405 Express Evaluation</w:t>
            </w:r>
          </w:p>
        </w:tc>
        <w:tc>
          <w:tcPr>
            <w:tcW w:w="336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0608 SCCG Report</w:t>
            </w:r>
          </w:p>
        </w:tc>
        <w:tc>
          <w:tcPr>
            <w:tcW w:w="5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0.60 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tabs>
                <w:tab w:val="decimal" w:pos="407"/>
              </w:tabs>
              <w:spacing w:before="0" w:beforeAutospacing="0" w:after="0" w:afterAutospacing="0"/>
              <w:rPr>
                <w:rFonts w:eastAsia="Calibri"/>
                <w:color w:val="000000"/>
                <w:kern w:val="24"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  <w:highlight w:val="green"/>
              </w:rPr>
              <w:t>0.60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 kWh</w:t>
            </w:r>
          </w:p>
          <w:p w:rsidR="00FC0A1D" w:rsidRPr="00D90BE0" w:rsidRDefault="00FC0A1D" w:rsidP="00E13281">
            <w:pPr>
              <w:pStyle w:val="NormalWeb"/>
              <w:tabs>
                <w:tab w:val="decimal" w:pos="40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  <w:highlight w:val="green"/>
              </w:rPr>
              <w:t>0.59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 kW</w:t>
            </w:r>
          </w:p>
        </w:tc>
        <w:tc>
          <w:tcPr>
            <w:tcW w:w="4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  <w:r w:rsidRPr="00D90BE0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auto"/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Lighting Controls</w:t>
            </w:r>
          </w:p>
        </w:tc>
        <w:tc>
          <w:tcPr>
            <w:tcW w:w="266" w:type="pct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DI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12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0.85</w:t>
            </w:r>
          </w:p>
        </w:tc>
        <w:tc>
          <w:tcPr>
            <w:tcW w:w="437" w:type="pct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0405 SDG&amp;E Small Business</w:t>
            </w:r>
          </w:p>
        </w:tc>
        <w:tc>
          <w:tcPr>
            <w:tcW w:w="336" w:type="pct"/>
            <w:tcBorders>
              <w:top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12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0608 SCCG Report</w:t>
            </w:r>
          </w:p>
        </w:tc>
        <w:tc>
          <w:tcPr>
            <w:tcW w:w="504" w:type="pct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0.89</w:t>
            </w:r>
            <w:r w:rsidRPr="00D90BE0">
              <w:rPr>
                <w:color w:val="000000"/>
                <w:kern w:val="24"/>
                <w:sz w:val="16"/>
                <w:szCs w:val="16"/>
              </w:rPr>
              <w:t xml:space="preserve"> 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12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pStyle w:val="NormalWeb"/>
              <w:tabs>
                <w:tab w:val="decimal" w:pos="407"/>
              </w:tabs>
              <w:spacing w:before="0" w:beforeAutospacing="0" w:after="0" w:afterAutospacing="0"/>
              <w:rPr>
                <w:rFonts w:eastAsia="Calibri"/>
                <w:color w:val="000000"/>
                <w:kern w:val="24"/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>0.89 kWh</w:t>
            </w:r>
          </w:p>
          <w:p w:rsidR="00FC0A1D" w:rsidRPr="00D90BE0" w:rsidRDefault="00FC0A1D" w:rsidP="00E13281">
            <w:pPr>
              <w:pStyle w:val="NormalWeb"/>
              <w:tabs>
                <w:tab w:val="decimal" w:pos="40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D90BE0">
              <w:rPr>
                <w:rFonts w:eastAsia="Calibri"/>
                <w:color w:val="000000"/>
                <w:kern w:val="24"/>
                <w:sz w:val="16"/>
                <w:szCs w:val="16"/>
                <w:highlight w:val="cyan"/>
              </w:rPr>
              <w:t>0.74</w:t>
            </w:r>
            <w:r w:rsidRPr="00D90BE0">
              <w:rPr>
                <w:rFonts w:eastAsia="Calibri"/>
                <w:color w:val="000000"/>
                <w:kern w:val="24"/>
                <w:sz w:val="16"/>
                <w:szCs w:val="16"/>
              </w:rPr>
              <w:t xml:space="preserve"> kW</w:t>
            </w:r>
          </w:p>
        </w:tc>
        <w:tc>
          <w:tcPr>
            <w:tcW w:w="404" w:type="pct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  <w:r w:rsidRPr="00D90BE0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t>Residential Lighting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auto"/>
              <w:left w:val="single" w:sz="12" w:space="0" w:color="000000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Basic CFL</w:t>
            </w:r>
          </w:p>
        </w:tc>
        <w:tc>
          <w:tcPr>
            <w:tcW w:w="26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pStyle w:val="NormalWeb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  <w:r w:rsidRPr="00D90BE0">
              <w:rPr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>P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0.60</w:t>
            </w:r>
          </w:p>
        </w:tc>
        <w:tc>
          <w:tcPr>
            <w:tcW w:w="43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Multiple sources</w:t>
            </w:r>
          </w:p>
        </w:tc>
        <w:tc>
          <w:tcPr>
            <w:tcW w:w="336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SRA, Discrete Choice, Market Share Forecasts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0608 KEMA</w:t>
            </w:r>
          </w:p>
        </w:tc>
        <w:tc>
          <w:tcPr>
            <w:tcW w:w="5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Multiple Sources, Preponde</w:t>
            </w:r>
            <w:r>
              <w:rPr>
                <w:sz w:val="16"/>
                <w:szCs w:val="16"/>
              </w:rPr>
              <w:t>-</w:t>
            </w:r>
            <w:r w:rsidRPr="00D90BE0">
              <w:rPr>
                <w:sz w:val="16"/>
                <w:szCs w:val="16"/>
              </w:rPr>
              <w:t>rance of Evidence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46B1C">
              <w:rPr>
                <w:sz w:val="16"/>
                <w:szCs w:val="16"/>
                <w:highlight w:val="cyan"/>
              </w:rPr>
              <w:t>0.54</w:t>
            </w:r>
          </w:p>
        </w:tc>
        <w:tc>
          <w:tcPr>
            <w:tcW w:w="404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46B1C">
              <w:rPr>
                <w:sz w:val="16"/>
                <w:szCs w:val="16"/>
              </w:rPr>
              <w:t>All</w:t>
            </w:r>
            <w:r w:rsidRPr="00D90BE0">
              <w:rPr>
                <w:color w:val="FF0000"/>
                <w:sz w:val="16"/>
                <w:szCs w:val="16"/>
              </w:rPr>
              <w:t xml:space="preserve"> </w:t>
            </w:r>
            <w:r w:rsidRPr="00D90BE0">
              <w:rPr>
                <w:sz w:val="16"/>
                <w:szCs w:val="16"/>
              </w:rPr>
              <w:t>Sales Channels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8" w:space="0" w:color="auto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 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12" w:space="0" w:color="000000"/>
              <w:bottom w:val="single" w:sz="8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Pr="00D90BE0" w:rsidRDefault="00FC0A1D" w:rsidP="00E13281">
            <w:pPr>
              <w:keepNext/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t>Commercial HVAC Systems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auto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HVAC Maintenance: Refrigerant Charge Adjustment </w:t>
            </w:r>
          </w:p>
        </w:tc>
        <w:tc>
          <w:tcPr>
            <w:tcW w:w="266" w:type="pct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0.70</w:t>
            </w:r>
          </w:p>
        </w:tc>
        <w:tc>
          <w:tcPr>
            <w:tcW w:w="437" w:type="pct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Default</w:t>
            </w:r>
          </w:p>
        </w:tc>
        <w:tc>
          <w:tcPr>
            <w:tcW w:w="336" w:type="pct"/>
            <w:tcBorders>
              <w:top w:val="single" w:sz="8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n/a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969"/>
                <w:tab w:val="left" w:pos="1599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HVAC HIM and Spec. Commercial</w:t>
            </w:r>
          </w:p>
        </w:tc>
        <w:tc>
          <w:tcPr>
            <w:tcW w:w="504" w:type="pct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PGE2068</w:t>
            </w:r>
            <w:r w:rsidRPr="00D90BE0">
              <w:rPr>
                <w:sz w:val="16"/>
                <w:szCs w:val="16"/>
              </w:rPr>
              <w:tab/>
              <w:t>0.54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PGE2080</w:t>
            </w:r>
            <w:r w:rsidRPr="00D90BE0">
              <w:rPr>
                <w:sz w:val="16"/>
                <w:szCs w:val="16"/>
              </w:rPr>
              <w:tab/>
              <w:t>0.55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</w:t>
            </w:r>
            <w:r w:rsidRPr="00D90BE0">
              <w:rPr>
                <w:sz w:val="16"/>
                <w:szCs w:val="16"/>
              </w:rPr>
              <w:tab/>
              <w:t>0.94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</w:t>
            </w:r>
            <w:r w:rsidRPr="00D90BE0">
              <w:rPr>
                <w:sz w:val="16"/>
                <w:szCs w:val="16"/>
              </w:rPr>
              <w:tab/>
              <w:t>0.70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0.73</w:t>
            </w:r>
          </w:p>
        </w:tc>
        <w:tc>
          <w:tcPr>
            <w:tcW w:w="404" w:type="pct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top w:val="single" w:sz="8" w:space="0" w:color="auto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lastRenderedPageBreak/>
              <w:t>RCx Packages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CI</w:t>
            </w:r>
            <w:r>
              <w:rPr>
                <w:sz w:val="16"/>
                <w:szCs w:val="16"/>
              </w:rPr>
              <w:t>DN</w:t>
            </w:r>
            <w:r w:rsidRPr="00D90BE0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PR</w:t>
            </w:r>
            <w:r w:rsidRPr="00D90BE0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0.90 Elec.,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1.0 Nat. Gas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’04-’05 Bldg. Tune-Up,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’04-’05 SD RCx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613"/>
                <w:tab w:val="left" w:pos="1063"/>
                <w:tab w:val="left" w:pos="1423"/>
                <w:tab w:val="left" w:pos="2053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RCx Impact Evaluation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left" w:pos="316"/>
                <w:tab w:val="left" w:pos="586"/>
                <w:tab w:val="left" w:pos="85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ab/>
              <w:t>kWh</w:t>
            </w:r>
            <w:r w:rsidRPr="00D90BE0">
              <w:rPr>
                <w:sz w:val="12"/>
                <w:szCs w:val="16"/>
              </w:rPr>
              <w:tab/>
              <w:t>kW</w:t>
            </w:r>
            <w:r w:rsidRPr="00D90BE0">
              <w:rPr>
                <w:sz w:val="12"/>
                <w:szCs w:val="16"/>
              </w:rPr>
              <w:tab/>
              <w:t>Therms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406"/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PGE</w:t>
            </w:r>
            <w:r w:rsidRPr="00D90BE0">
              <w:rPr>
                <w:sz w:val="12"/>
                <w:szCs w:val="16"/>
              </w:rPr>
              <w:tab/>
              <w:t>0.80</w:t>
            </w:r>
            <w:r w:rsidRPr="00D90BE0">
              <w:rPr>
                <w:sz w:val="12"/>
                <w:szCs w:val="16"/>
              </w:rPr>
              <w:tab/>
              <w:t>0.76</w:t>
            </w:r>
            <w:r w:rsidRPr="00D90BE0">
              <w:rPr>
                <w:sz w:val="12"/>
                <w:szCs w:val="16"/>
              </w:rPr>
              <w:tab/>
              <w:t>0.86</w:t>
            </w:r>
          </w:p>
          <w:p w:rsidR="00FC0A1D" w:rsidRPr="00D90BE0" w:rsidRDefault="00FC0A1D" w:rsidP="00E13281">
            <w:pPr>
              <w:tabs>
                <w:tab w:val="decimal" w:pos="406"/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SCE</w:t>
            </w:r>
            <w:r w:rsidRPr="00D90BE0">
              <w:rPr>
                <w:sz w:val="12"/>
                <w:szCs w:val="16"/>
              </w:rPr>
              <w:tab/>
              <w:t>0.86</w:t>
            </w:r>
            <w:r w:rsidRPr="00D90BE0">
              <w:rPr>
                <w:sz w:val="12"/>
                <w:szCs w:val="16"/>
              </w:rPr>
              <w:tab/>
              <w:t>0.78</w:t>
            </w:r>
            <w:r w:rsidRPr="00D90BE0">
              <w:rPr>
                <w:sz w:val="12"/>
                <w:szCs w:val="16"/>
              </w:rPr>
              <w:tab/>
              <w:t>0.91</w:t>
            </w:r>
          </w:p>
          <w:p w:rsidR="00FC0A1D" w:rsidRPr="00D90BE0" w:rsidRDefault="00FC0A1D" w:rsidP="00E13281">
            <w:pPr>
              <w:tabs>
                <w:tab w:val="decimal" w:pos="406"/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SCG</w:t>
            </w:r>
            <w:r w:rsidRPr="00D90BE0">
              <w:rPr>
                <w:sz w:val="12"/>
                <w:szCs w:val="16"/>
              </w:rPr>
              <w:tab/>
              <w:t>-</w:t>
            </w:r>
            <w:r w:rsidRPr="00D90BE0">
              <w:rPr>
                <w:sz w:val="12"/>
                <w:szCs w:val="16"/>
              </w:rPr>
              <w:tab/>
              <w:t>-</w:t>
            </w:r>
            <w:r w:rsidRPr="00D90BE0">
              <w:rPr>
                <w:sz w:val="12"/>
                <w:szCs w:val="16"/>
              </w:rPr>
              <w:tab/>
              <w:t>0.92</w:t>
            </w:r>
          </w:p>
          <w:p w:rsidR="00FC0A1D" w:rsidRPr="00D90BE0" w:rsidRDefault="00FC0A1D" w:rsidP="00E13281">
            <w:pPr>
              <w:tabs>
                <w:tab w:val="decimal" w:pos="406"/>
                <w:tab w:val="decimal" w:pos="676"/>
                <w:tab w:val="decimal" w:pos="1036"/>
                <w:tab w:val="decimal" w:pos="1603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2"/>
                <w:szCs w:val="16"/>
              </w:rPr>
              <w:t>SDGE</w:t>
            </w:r>
            <w:r w:rsidRPr="00D90BE0">
              <w:rPr>
                <w:sz w:val="12"/>
                <w:szCs w:val="16"/>
              </w:rPr>
              <w:tab/>
              <w:t>0.75</w:t>
            </w:r>
            <w:r w:rsidRPr="00D90BE0">
              <w:rPr>
                <w:sz w:val="12"/>
                <w:szCs w:val="16"/>
              </w:rPr>
              <w:tab/>
              <w:t>0.75</w:t>
            </w:r>
            <w:r w:rsidRPr="00D90BE0">
              <w:rPr>
                <w:sz w:val="12"/>
                <w:szCs w:val="16"/>
              </w:rPr>
              <w:tab/>
              <w:t>0.68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cyan"/>
              </w:rPr>
              <w:t>0.80</w:t>
            </w:r>
            <w:r w:rsidRPr="00D90BE0">
              <w:rPr>
                <w:sz w:val="16"/>
                <w:szCs w:val="16"/>
              </w:rPr>
              <w:t xml:space="preserve">   Elec.</w:t>
            </w:r>
          </w:p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cyan"/>
              </w:rPr>
              <w:t>0.82</w:t>
            </w:r>
            <w:r w:rsidRPr="00D90BE0">
              <w:rPr>
                <w:sz w:val="16"/>
                <w:szCs w:val="16"/>
              </w:rPr>
              <w:t xml:space="preserve">   Nat. Gas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Chiller Replacement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Comm. only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CI</w:t>
            </w:r>
            <w:r>
              <w:rPr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’04-’05 SPC Evaluation + 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 Bias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971"/>
                <w:tab w:val="left" w:pos="1872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Major Customer Evaluation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586"/>
                <w:tab w:val="left" w:pos="94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ab/>
              <w:t>kWh</w:t>
            </w:r>
            <w:r w:rsidRPr="00D90BE0">
              <w:rPr>
                <w:sz w:val="12"/>
                <w:szCs w:val="16"/>
              </w:rPr>
              <w:tab/>
              <w:t>kW</w:t>
            </w:r>
          </w:p>
          <w:p w:rsidR="00FC0A1D" w:rsidRPr="00D90BE0" w:rsidRDefault="00FC0A1D" w:rsidP="00E13281">
            <w:pPr>
              <w:tabs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SCE</w:t>
            </w:r>
            <w:r w:rsidRPr="00D90BE0">
              <w:rPr>
                <w:sz w:val="12"/>
                <w:szCs w:val="16"/>
              </w:rPr>
              <w:tab/>
              <w:t>0.59</w:t>
            </w:r>
            <w:r w:rsidRPr="00D90BE0">
              <w:rPr>
                <w:sz w:val="12"/>
                <w:szCs w:val="16"/>
              </w:rPr>
              <w:tab/>
              <w:t>0.57</w:t>
            </w:r>
          </w:p>
          <w:p w:rsidR="00FC0A1D" w:rsidRPr="00D90BE0" w:rsidRDefault="00FC0A1D" w:rsidP="00E13281">
            <w:pPr>
              <w:tabs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SDGE3010</w:t>
            </w:r>
            <w:r w:rsidRPr="00D90BE0">
              <w:rPr>
                <w:sz w:val="12"/>
                <w:szCs w:val="16"/>
              </w:rPr>
              <w:tab/>
              <w:t>0.70</w:t>
            </w:r>
            <w:r w:rsidRPr="00D90BE0">
              <w:rPr>
                <w:sz w:val="12"/>
                <w:szCs w:val="16"/>
              </w:rPr>
              <w:tab/>
              <w:t>0.68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SDGE3025</w:t>
            </w:r>
            <w:r w:rsidRPr="00D90BE0">
              <w:rPr>
                <w:sz w:val="12"/>
                <w:szCs w:val="16"/>
              </w:rPr>
              <w:tab/>
              <w:t>0.56</w:t>
            </w:r>
            <w:r w:rsidRPr="00D90BE0">
              <w:rPr>
                <w:sz w:val="12"/>
                <w:szCs w:val="16"/>
              </w:rPr>
              <w:tab/>
              <w:t>0.54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0.58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1065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Package and Split System AC and HP Replacement</w:t>
            </w:r>
          </w:p>
        </w:tc>
        <w:tc>
          <w:tcPr>
            <w:tcW w:w="266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  <w:r w:rsidRPr="00D90BE0">
              <w:rPr>
                <w:sz w:val="16"/>
                <w:szCs w:val="16"/>
              </w:rPr>
              <w:t>U</w:t>
            </w:r>
            <w:r>
              <w:rPr>
                <w:sz w:val="16"/>
                <w:szCs w:val="16"/>
              </w:rPr>
              <w:t>P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0.85</w:t>
            </w:r>
          </w:p>
        </w:tc>
        <w:tc>
          <w:tcPr>
            <w:tcW w:w="437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’04-’05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SW Express and Upstream Evaluation,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Adjusted</w:t>
            </w:r>
          </w:p>
        </w:tc>
        <w:tc>
          <w:tcPr>
            <w:tcW w:w="336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SRA,</w:t>
            </w:r>
          </w:p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Discrete Choice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HVAC HIM and Spec. Commercial</w:t>
            </w:r>
          </w:p>
        </w:tc>
        <w:tc>
          <w:tcPr>
            <w:tcW w:w="5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406"/>
                <w:tab w:val="left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ab/>
              <w:t>kWh</w:t>
            </w:r>
            <w:r w:rsidRPr="00D90BE0">
              <w:rPr>
                <w:sz w:val="16"/>
                <w:szCs w:val="16"/>
              </w:rPr>
              <w:tab/>
              <w:t>kW</w:t>
            </w:r>
          </w:p>
          <w:p w:rsidR="00FC0A1D" w:rsidRPr="00D90BE0" w:rsidRDefault="00FC0A1D" w:rsidP="00E13281">
            <w:pPr>
              <w:tabs>
                <w:tab w:val="decimal" w:pos="496"/>
                <w:tab w:val="decimal" w:pos="94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</w:t>
            </w:r>
            <w:r w:rsidRPr="00D90BE0">
              <w:rPr>
                <w:sz w:val="16"/>
                <w:szCs w:val="16"/>
              </w:rPr>
              <w:tab/>
              <w:t>0.94</w:t>
            </w:r>
            <w:r w:rsidRPr="00D90BE0">
              <w:rPr>
                <w:sz w:val="16"/>
                <w:szCs w:val="16"/>
              </w:rPr>
              <w:tab/>
              <w:t>0.94</w:t>
            </w:r>
          </w:p>
          <w:p w:rsidR="00FC0A1D" w:rsidRPr="00D90BE0" w:rsidRDefault="00FC0A1D" w:rsidP="00E13281">
            <w:pPr>
              <w:tabs>
                <w:tab w:val="decimal" w:pos="496"/>
                <w:tab w:val="decimal" w:pos="94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</w:t>
            </w:r>
            <w:r w:rsidRPr="00D90BE0">
              <w:rPr>
                <w:sz w:val="16"/>
                <w:szCs w:val="16"/>
              </w:rPr>
              <w:tab/>
              <w:t>0.96</w:t>
            </w:r>
            <w:r w:rsidRPr="00D90BE0">
              <w:rPr>
                <w:sz w:val="16"/>
                <w:szCs w:val="16"/>
              </w:rPr>
              <w:tab/>
              <w:t>0.96</w:t>
            </w:r>
          </w:p>
          <w:p w:rsidR="00FC0A1D" w:rsidRPr="00D90BE0" w:rsidRDefault="00FC0A1D" w:rsidP="00E13281">
            <w:pPr>
              <w:tabs>
                <w:tab w:val="decimal" w:pos="496"/>
                <w:tab w:val="decimal" w:pos="94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</w:t>
            </w:r>
            <w:r w:rsidRPr="00D90BE0">
              <w:rPr>
                <w:sz w:val="16"/>
                <w:szCs w:val="16"/>
              </w:rPr>
              <w:tab/>
              <w:t>0.94</w:t>
            </w:r>
            <w:r w:rsidRPr="00D90BE0">
              <w:rPr>
                <w:sz w:val="16"/>
                <w:szCs w:val="16"/>
              </w:rPr>
              <w:tab/>
              <w:t>0.94</w:t>
            </w:r>
          </w:p>
        </w:tc>
        <w:tc>
          <w:tcPr>
            <w:tcW w:w="370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0.85</w:t>
            </w:r>
          </w:p>
        </w:tc>
        <w:tc>
          <w:tcPr>
            <w:tcW w:w="4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t>Residential HVAC Systems and Building Envelope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Room Air Conditioner</w:t>
            </w:r>
          </w:p>
        </w:tc>
        <w:tc>
          <w:tcPr>
            <w:tcW w:w="266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  <w:r w:rsidRPr="00D90BE0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N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0.70</w:t>
            </w:r>
          </w:p>
        </w:tc>
        <w:tc>
          <w:tcPr>
            <w:tcW w:w="437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Default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’04-‘05 Res. Retrofit</w:t>
            </w:r>
          </w:p>
        </w:tc>
        <w:tc>
          <w:tcPr>
            <w:tcW w:w="336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Residential Retrofit Evaluation</w:t>
            </w:r>
          </w:p>
        </w:tc>
        <w:tc>
          <w:tcPr>
            <w:tcW w:w="5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PGE2000</w:t>
            </w:r>
            <w:r w:rsidRPr="00D90BE0">
              <w:rPr>
                <w:sz w:val="16"/>
                <w:szCs w:val="16"/>
              </w:rPr>
              <w:tab/>
              <w:t>0.41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SCE2501</w:t>
            </w:r>
            <w:r w:rsidRPr="00D90BE0">
              <w:rPr>
                <w:sz w:val="16"/>
                <w:szCs w:val="16"/>
              </w:rPr>
              <w:tab/>
              <w:t>0.36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SDGE3024</w:t>
            </w:r>
            <w:r w:rsidRPr="00D90BE0">
              <w:rPr>
                <w:sz w:val="16"/>
                <w:szCs w:val="16"/>
              </w:rPr>
              <w:tab/>
              <w:t>0.31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green"/>
              </w:rPr>
              <w:t>0.36</w:t>
            </w:r>
          </w:p>
        </w:tc>
        <w:tc>
          <w:tcPr>
            <w:tcW w:w="4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Single and 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Multi-Family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Increase base NTGR by .10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HVAC Maintenance: Duct Sealing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0.78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’04-‘05 Res. Retrofit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HVAC HIM and Spec. Commercial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PGE2000</w:t>
            </w:r>
            <w:r w:rsidRPr="00D90BE0">
              <w:rPr>
                <w:sz w:val="16"/>
                <w:szCs w:val="16"/>
              </w:rPr>
              <w:tab/>
              <w:t>0.54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PGE2078</w:t>
            </w:r>
            <w:r w:rsidRPr="00D90BE0">
              <w:rPr>
                <w:sz w:val="16"/>
                <w:szCs w:val="16"/>
              </w:rPr>
              <w:tab/>
              <w:t>0.85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SCE2501</w:t>
            </w:r>
            <w:r w:rsidRPr="00D90BE0">
              <w:rPr>
                <w:sz w:val="16"/>
                <w:szCs w:val="16"/>
              </w:rPr>
              <w:tab/>
              <w:t>0.79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SCE2507</w:t>
            </w:r>
            <w:r w:rsidRPr="00D90BE0">
              <w:rPr>
                <w:sz w:val="16"/>
                <w:szCs w:val="16"/>
              </w:rPr>
              <w:tab/>
              <w:t>0.96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SDGE3035</w:t>
            </w:r>
            <w:r w:rsidRPr="00D90BE0">
              <w:rPr>
                <w:sz w:val="16"/>
                <w:szCs w:val="16"/>
              </w:rPr>
              <w:tab/>
              <w:t>0.80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</w:pPr>
            <w:r w:rsidRPr="00D90BE0">
              <w:rPr>
                <w:sz w:val="16"/>
                <w:szCs w:val="16"/>
              </w:rPr>
              <w:t>0.78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Single and 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b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Multi-Family, Mobile Home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HVAC Maintenance: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Refrigerant Charge Adjustment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0.78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’04-‘05 Res. Retrofit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HVAC HIM and Spec. Commercial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PGE2000</w:t>
            </w:r>
            <w:r w:rsidRPr="00D90BE0">
              <w:rPr>
                <w:sz w:val="16"/>
                <w:szCs w:val="16"/>
              </w:rPr>
              <w:tab/>
              <w:t>0.63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PGE2078</w:t>
            </w:r>
            <w:r w:rsidRPr="00D90BE0">
              <w:rPr>
                <w:sz w:val="16"/>
                <w:szCs w:val="16"/>
              </w:rPr>
              <w:tab/>
              <w:t>0.78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SCE2501</w:t>
            </w:r>
            <w:r w:rsidRPr="00D90BE0">
              <w:rPr>
                <w:sz w:val="16"/>
                <w:szCs w:val="16"/>
              </w:rPr>
              <w:tab/>
              <w:t>0.78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SCE2507</w:t>
            </w:r>
            <w:r w:rsidRPr="00D90BE0">
              <w:rPr>
                <w:sz w:val="16"/>
                <w:szCs w:val="16"/>
              </w:rPr>
              <w:tab/>
              <w:t>0.97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SDGE3035</w:t>
            </w:r>
            <w:r w:rsidRPr="00D90BE0">
              <w:rPr>
                <w:sz w:val="16"/>
                <w:szCs w:val="16"/>
              </w:rPr>
              <w:tab/>
              <w:t>0.78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0.78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Single and 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b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Multi-Family, Mobile Home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FC0A1D">
        <w:trPr>
          <w:cantSplit/>
          <w:trHeight w:val="615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Roof and Wall Insulation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0.70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’04-‘05 Res. Retrofit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Residential Retrofit Evaluation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left" w:pos="316"/>
                <w:tab w:val="left" w:pos="587"/>
                <w:tab w:val="left" w:pos="85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ab/>
              <w:t>kWh</w:t>
            </w:r>
            <w:r w:rsidRPr="00D90BE0">
              <w:rPr>
                <w:sz w:val="12"/>
                <w:szCs w:val="16"/>
              </w:rPr>
              <w:tab/>
              <w:t>kW</w:t>
            </w:r>
            <w:r w:rsidRPr="00D90BE0">
              <w:rPr>
                <w:sz w:val="12"/>
                <w:szCs w:val="16"/>
              </w:rPr>
              <w:tab/>
              <w:t>Therms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406"/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PGE</w:t>
            </w:r>
            <w:r w:rsidRPr="00D90BE0">
              <w:rPr>
                <w:sz w:val="12"/>
                <w:szCs w:val="16"/>
              </w:rPr>
              <w:tab/>
              <w:t>0.25</w:t>
            </w:r>
            <w:r w:rsidRPr="00D90BE0">
              <w:rPr>
                <w:sz w:val="12"/>
                <w:szCs w:val="16"/>
              </w:rPr>
              <w:tab/>
              <w:t>0.28</w:t>
            </w:r>
            <w:r w:rsidRPr="00D90BE0">
              <w:rPr>
                <w:sz w:val="12"/>
                <w:szCs w:val="16"/>
              </w:rPr>
              <w:tab/>
              <w:t>0.26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406"/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SCG</w:t>
            </w:r>
            <w:r w:rsidRPr="00D90BE0">
              <w:rPr>
                <w:sz w:val="12"/>
                <w:szCs w:val="16"/>
              </w:rPr>
              <w:tab/>
              <w:t>0.30</w:t>
            </w:r>
            <w:r w:rsidRPr="00D90BE0">
              <w:rPr>
                <w:sz w:val="12"/>
                <w:szCs w:val="16"/>
              </w:rPr>
              <w:tab/>
              <w:t>0.30</w:t>
            </w:r>
            <w:r w:rsidRPr="00D90BE0">
              <w:rPr>
                <w:sz w:val="12"/>
                <w:szCs w:val="16"/>
              </w:rPr>
              <w:tab/>
              <w:t>0.29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406"/>
                <w:tab w:val="decimal" w:pos="676"/>
                <w:tab w:val="decimal" w:pos="1036"/>
              </w:tabs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SDGE</w:t>
            </w:r>
            <w:r w:rsidRPr="00D90BE0">
              <w:rPr>
                <w:sz w:val="12"/>
                <w:szCs w:val="16"/>
              </w:rPr>
              <w:tab/>
              <w:t>0.25</w:t>
            </w:r>
            <w:r w:rsidRPr="00D90BE0">
              <w:rPr>
                <w:sz w:val="12"/>
                <w:szCs w:val="16"/>
              </w:rPr>
              <w:tab/>
              <w:t>0.26</w:t>
            </w:r>
            <w:r w:rsidRPr="00D90BE0">
              <w:rPr>
                <w:sz w:val="12"/>
                <w:szCs w:val="16"/>
              </w:rPr>
              <w:tab/>
              <w:t>0.25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yellow"/>
              </w:rPr>
              <w:t>0.28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Single Family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115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5"/>
                <w:szCs w:val="15"/>
              </w:rPr>
            </w:pPr>
            <w:r w:rsidRPr="00D90BE0">
              <w:rPr>
                <w:sz w:val="15"/>
                <w:szCs w:val="15"/>
              </w:rPr>
              <w:t>Air Cooled Packaged and Split System Air Conditioners and Heat Pumps</w:t>
            </w:r>
          </w:p>
        </w:tc>
        <w:tc>
          <w:tcPr>
            <w:tcW w:w="266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>0.67, Central AC &gt;14 SEER;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2"/>
                <w:szCs w:val="16"/>
              </w:rPr>
            </w:pPr>
            <w:r w:rsidRPr="00D90BE0">
              <w:rPr>
                <w:sz w:val="12"/>
                <w:szCs w:val="16"/>
              </w:rPr>
              <w:t xml:space="preserve">0.80, Central AC &gt;15 SEER; 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2"/>
                <w:szCs w:val="16"/>
              </w:rPr>
              <w:t>0.55, Heat Pump-Energy Star</w:t>
            </w:r>
          </w:p>
        </w:tc>
        <w:tc>
          <w:tcPr>
            <w:tcW w:w="437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’04-‘05 Res. Retrofit</w:t>
            </w:r>
          </w:p>
        </w:tc>
        <w:tc>
          <w:tcPr>
            <w:tcW w:w="336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HVAC HIM and Spec. Commercial</w:t>
            </w:r>
          </w:p>
        </w:tc>
        <w:tc>
          <w:tcPr>
            <w:tcW w:w="5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SCE2507</w:t>
            </w:r>
            <w:r w:rsidRPr="00D90BE0">
              <w:rPr>
                <w:sz w:val="16"/>
                <w:szCs w:val="16"/>
              </w:rPr>
              <w:tab/>
              <w:t>0.56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85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SDGE3029</w:t>
            </w:r>
            <w:r w:rsidRPr="00D90BE0">
              <w:rPr>
                <w:sz w:val="16"/>
                <w:szCs w:val="16"/>
              </w:rPr>
              <w:tab/>
              <w:t>0.53</w:t>
            </w:r>
          </w:p>
        </w:tc>
        <w:tc>
          <w:tcPr>
            <w:tcW w:w="370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cyan"/>
              </w:rPr>
              <w:t>0.55</w:t>
            </w:r>
          </w:p>
        </w:tc>
        <w:tc>
          <w:tcPr>
            <w:tcW w:w="4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Single Family</w:t>
            </w:r>
          </w:p>
        </w:tc>
        <w:tc>
          <w:tcPr>
            <w:tcW w:w="370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Default="00FC0A1D" w:rsidP="00E13281">
            <w:pPr>
              <w:keepNext/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lastRenderedPageBreak/>
              <w:t>Commercial and Industrial Custom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Pump-Off Controllers</w:t>
            </w:r>
          </w:p>
        </w:tc>
        <w:tc>
          <w:tcPr>
            <w:tcW w:w="266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</w:t>
            </w:r>
          </w:p>
        </w:tc>
        <w:tc>
          <w:tcPr>
            <w:tcW w:w="398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CI</w:t>
            </w:r>
            <w:r>
              <w:rPr>
                <w:rFonts w:eastAsiaTheme="minorHAnsi"/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437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Itron, PG&amp;E 2010</w:t>
            </w:r>
            <w:r w:rsidRPr="003C39BE">
              <w:rPr>
                <w:rStyle w:val="FootnoteReference"/>
              </w:rPr>
              <w:footnoteReference w:id="3"/>
            </w:r>
            <w:r w:rsidRPr="00D90BE0">
              <w:rPr>
                <w:sz w:val="16"/>
                <w:szCs w:val="16"/>
              </w:rPr>
              <w:t xml:space="preserve"> &amp; Itron Memo, 2009</w:t>
            </w:r>
            <w:r w:rsidRPr="003C39BE">
              <w:rPr>
                <w:rStyle w:val="FootnoteReference"/>
              </w:rPr>
              <w:footnoteReference w:id="4"/>
            </w:r>
          </w:p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  Major</w:t>
            </w:r>
            <w:r w:rsidRPr="00D90BE0">
              <w:rPr>
                <w:sz w:val="16"/>
                <w:szCs w:val="16"/>
              </w:rPr>
              <w:tab/>
              <w:t>0.45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PGE/SCE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Major</w:t>
            </w:r>
            <w:r w:rsidRPr="00D90BE0">
              <w:rPr>
                <w:sz w:val="16"/>
                <w:szCs w:val="16"/>
              </w:rPr>
              <w:tab/>
              <w:t>0.42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PGE/SCE Independent</w:t>
            </w:r>
            <w:r w:rsidRPr="00D90BE0">
              <w:rPr>
                <w:sz w:val="16"/>
                <w:szCs w:val="16"/>
              </w:rPr>
              <w:tab/>
              <w:t>0.74</w:t>
            </w:r>
          </w:p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(Combined since there isn’t a simple way to define independents)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cyan"/>
              </w:rPr>
              <w:t>0.45</w:t>
            </w:r>
          </w:p>
        </w:tc>
        <w:tc>
          <w:tcPr>
            <w:tcW w:w="4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Oil &amp; Gas Producers</w:t>
            </w:r>
          </w:p>
          <w:p w:rsidR="00FC0A1D" w:rsidRPr="00D90BE0" w:rsidRDefault="00FC0A1D" w:rsidP="00E13281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Pipe Insulation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CI</w:t>
            </w:r>
            <w:r>
              <w:rPr>
                <w:rFonts w:eastAsiaTheme="minorHAnsi"/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Itron, see footnote 2 in document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SCG         0.72</w:t>
            </w:r>
          </w:p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         0.49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green"/>
              </w:rPr>
              <w:t>0.71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ind w:firstLine="158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Steam Traps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Small Comm.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PR</w:t>
            </w:r>
            <w:r w:rsidRPr="00D90BE0">
              <w:rPr>
                <w:rFonts w:eastAsiaTheme="minorHAnsi"/>
                <w:sz w:val="16"/>
                <w:szCs w:val="16"/>
              </w:rPr>
              <w:t>D</w:t>
            </w:r>
            <w:r>
              <w:rPr>
                <w:rFonts w:eastAsiaTheme="minorHAnsi"/>
                <w:sz w:val="16"/>
                <w:szCs w:val="16"/>
              </w:rPr>
              <w:t>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Itron,   Southern California Industrial and Agricultural </w:t>
            </w:r>
          </w:p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       0.62</w:t>
            </w:r>
          </w:p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SCG       0.70</w:t>
            </w:r>
          </w:p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    0.72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green"/>
              </w:rPr>
              <w:t>0.68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Small Comm.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Steam Traps, High Pressure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CI</w:t>
            </w:r>
            <w:r>
              <w:rPr>
                <w:rFonts w:eastAsiaTheme="minorHAnsi"/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Itron, Footnote 4 in document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0.52 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0.52  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 High Pressure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Steam Traps, Low Pressure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CI</w:t>
            </w:r>
            <w:r>
              <w:rPr>
                <w:rFonts w:eastAsiaTheme="minorHAnsi"/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Itron,  Footnote 4 in document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</w:t>
            </w:r>
            <w:r>
              <w:rPr>
                <w:sz w:val="16"/>
                <w:szCs w:val="16"/>
              </w:rPr>
              <w:t>52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 Low Pressure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Custom –Electric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Comm. / Industrial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CI</w:t>
            </w:r>
            <w:r>
              <w:rPr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 Footnote 1 in document, FN3, SBW (2010)</w:t>
            </w:r>
            <w:r w:rsidRPr="00D90BE0">
              <w:rPr>
                <w:sz w:val="16"/>
                <w:szCs w:val="16"/>
                <w:vertAlign w:val="superscript"/>
              </w:rPr>
              <w:footnoteReference w:id="5"/>
            </w:r>
            <w:r w:rsidRPr="00D90BE0">
              <w:rPr>
                <w:sz w:val="16"/>
                <w:szCs w:val="16"/>
              </w:rPr>
              <w:t xml:space="preserve"> and ADM, 2010</w:t>
            </w:r>
            <w:r w:rsidRPr="003C39BE">
              <w:rPr>
                <w:rStyle w:val="FootnoteReference"/>
              </w:rPr>
              <w:footnoteReference w:id="6"/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0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</w:t>
            </w:r>
            <w:r w:rsidRPr="00D90BE0">
              <w:rPr>
                <w:sz w:val="16"/>
                <w:szCs w:val="16"/>
              </w:rPr>
              <w:tab/>
              <w:t>0.60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 Intgrtd.</w:t>
            </w:r>
            <w:r w:rsidRPr="00D90BE0">
              <w:rPr>
                <w:sz w:val="16"/>
                <w:szCs w:val="16"/>
              </w:rPr>
              <w:tab/>
              <w:t>0.63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SCE Std Prfrm</w:t>
            </w:r>
            <w:r w:rsidRPr="00D90BE0">
              <w:rPr>
                <w:sz w:val="16"/>
                <w:szCs w:val="16"/>
              </w:rPr>
              <w:tab/>
              <w:t>0.59</w:t>
            </w:r>
          </w:p>
          <w:p w:rsidR="00FC0A1D" w:rsidRPr="00D90BE0" w:rsidRDefault="00FC0A1D" w:rsidP="00E13281">
            <w:pPr>
              <w:tabs>
                <w:tab w:val="decimal" w:pos="138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 High Tech</w:t>
            </w:r>
            <w:r w:rsidRPr="00D90BE0">
              <w:rPr>
                <w:sz w:val="16"/>
                <w:szCs w:val="16"/>
              </w:rPr>
              <w:tab/>
              <w:t>0.47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1036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PGE Lg Com</w:t>
            </w:r>
            <w:r w:rsidRPr="00D90BE0">
              <w:rPr>
                <w:sz w:val="16"/>
                <w:szCs w:val="16"/>
              </w:rPr>
              <w:tab/>
              <w:t>0.60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Based on kWh; kW values not statistically significant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cyan"/>
              </w:rPr>
              <w:t>0.60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(Weighted average based on energy savings from four studies)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Commercial / Industrial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516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lastRenderedPageBreak/>
              <w:t>Custom Electric</w:t>
            </w:r>
            <w:r>
              <w:rPr>
                <w:sz w:val="16"/>
                <w:szCs w:val="16"/>
              </w:rPr>
              <w:t xml:space="preserve"> RFP or Bid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Comm. / Industrial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ADM, 2010</w:t>
            </w:r>
            <w:r w:rsidRPr="003C39BE">
              <w:rPr>
                <w:rStyle w:val="FootnoteReference"/>
              </w:rPr>
              <w:footnoteReference w:id="7"/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946"/>
              </w:tabs>
              <w:spacing w:after="0" w:line="240" w:lineRule="auto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SDGE3010</w:t>
            </w:r>
            <w:r w:rsidRPr="00D90BE0">
              <w:rPr>
                <w:sz w:val="16"/>
                <w:szCs w:val="16"/>
              </w:rPr>
              <w:tab/>
              <w:t>0.70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green"/>
              </w:rPr>
              <w:t>0.70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Commercial / Industrial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Custom Gas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Comm. / Industrial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CI</w:t>
            </w:r>
            <w:r>
              <w:rPr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Custom Default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 xml:space="preserve">Itron, PG&amp;E 2010; see Footnote 1 in document  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0"/>
                <w:tab w:val="decimal" w:pos="946"/>
              </w:tabs>
              <w:spacing w:after="0" w:line="240" w:lineRule="auto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PG&amp;E</w:t>
            </w:r>
            <w:r w:rsidRPr="00D90BE0">
              <w:rPr>
                <w:sz w:val="16"/>
                <w:szCs w:val="16"/>
              </w:rPr>
              <w:tab/>
              <w:t>0.31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946"/>
              </w:tabs>
              <w:spacing w:after="0" w:line="240" w:lineRule="auto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SCG</w:t>
            </w:r>
            <w:r w:rsidRPr="00D90BE0">
              <w:rPr>
                <w:sz w:val="16"/>
                <w:szCs w:val="16"/>
              </w:rPr>
              <w:tab/>
              <w:t>0.54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green"/>
              </w:rPr>
              <w:t>0.35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Agricultural Greenhouse Envelope – Heat curtains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  <w:r w:rsidRPr="00D90BE0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N</w:t>
            </w:r>
            <w:r w:rsidRPr="00D90BE0">
              <w:rPr>
                <w:sz w:val="16"/>
                <w:szCs w:val="16"/>
              </w:rPr>
              <w:t>, CI</w:t>
            </w:r>
            <w:r>
              <w:rPr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0.50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kW Engineering / Phil Willems, 2007</w:t>
            </w:r>
            <w:r w:rsidRPr="003C39BE">
              <w:rPr>
                <w:rStyle w:val="FootnoteReference"/>
                <w:rFonts w:eastAsiaTheme="minorHAnsi"/>
              </w:rPr>
              <w:footnoteReference w:id="8"/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KEMA, PG&amp;E Agricultural and Food Processing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0.63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green"/>
              </w:rPr>
              <w:t>0.63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Agricultural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Pump Tests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PRDI, DSVC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Itron-KEMA,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Itron, Footnote 2 in document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0.63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0.63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Agricultural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Agricultural Greenhouse Envelope – Infrared Film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</w:t>
            </w:r>
            <w:r w:rsidRPr="00D90BE0">
              <w:rPr>
                <w:sz w:val="16"/>
                <w:szCs w:val="16"/>
              </w:rPr>
              <w:t>D</w:t>
            </w:r>
            <w:r>
              <w:rPr>
                <w:sz w:val="16"/>
                <w:szCs w:val="16"/>
              </w:rPr>
              <w:t>N</w:t>
            </w:r>
            <w:r w:rsidRPr="00D90BE0">
              <w:rPr>
                <w:sz w:val="16"/>
                <w:szCs w:val="16"/>
              </w:rPr>
              <w:t>, CI</w:t>
            </w:r>
            <w:r>
              <w:rPr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0.50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kW Engineering / Phil Willems, 2007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KEMA, 2010</w:t>
            </w:r>
            <w:r w:rsidRPr="003C39BE">
              <w:rPr>
                <w:rStyle w:val="FootnoteReference"/>
              </w:rPr>
              <w:footnoteReference w:id="9"/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0.46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0.46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Agricultural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 Other Agricultural Measures – Electric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CI</w:t>
            </w:r>
            <w:r>
              <w:rPr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0.79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Default="008648EA" w:rsidP="008648EA">
            <w:pPr>
              <w:pStyle w:val="FootnoteText"/>
              <w:ind w:left="0" w:firstLine="0"/>
            </w:pPr>
            <w:r>
              <w:t>kW Engineering / Phil Willems, 2007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KEMA, 2010</w:t>
            </w:r>
            <w:r w:rsidRPr="003C39BE">
              <w:rPr>
                <w:rStyle w:val="FootnoteReference"/>
                <w:rFonts w:eastAsiaTheme="minorHAnsi"/>
              </w:rPr>
              <w:footnoteReference w:id="10"/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0.70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cyan"/>
              </w:rPr>
              <w:t>0.70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Agricultural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 Other Agricultural Measures - Natural Gas</w:t>
            </w:r>
          </w:p>
        </w:tc>
        <w:tc>
          <w:tcPr>
            <w:tcW w:w="266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</w:t>
            </w:r>
          </w:p>
        </w:tc>
        <w:tc>
          <w:tcPr>
            <w:tcW w:w="398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CI</w:t>
            </w:r>
            <w:r>
              <w:rPr>
                <w:sz w:val="16"/>
                <w:szCs w:val="16"/>
              </w:rPr>
              <w:t>DN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0.72</w:t>
            </w:r>
          </w:p>
        </w:tc>
        <w:tc>
          <w:tcPr>
            <w:tcW w:w="437" w:type="pct"/>
            <w:tcBorders>
              <w:bottom w:val="single" w:sz="8" w:space="0" w:color="000000"/>
            </w:tcBorders>
            <w:vAlign w:val="center"/>
          </w:tcPr>
          <w:p w:rsidR="00FC0A1D" w:rsidRDefault="008648EA" w:rsidP="008648EA">
            <w:pPr>
              <w:pStyle w:val="FootnoteText"/>
              <w:ind w:left="0" w:firstLine="0"/>
            </w:pPr>
            <w:r>
              <w:t>kW Engineering / Phil Willems, 2007</w:t>
            </w:r>
          </w:p>
        </w:tc>
        <w:tc>
          <w:tcPr>
            <w:tcW w:w="336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KEMA, 2010</w:t>
            </w:r>
          </w:p>
        </w:tc>
        <w:tc>
          <w:tcPr>
            <w:tcW w:w="5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0.69</w:t>
            </w:r>
          </w:p>
        </w:tc>
        <w:tc>
          <w:tcPr>
            <w:tcW w:w="370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0.70</w:t>
            </w:r>
          </w:p>
        </w:tc>
        <w:tc>
          <w:tcPr>
            <w:tcW w:w="4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Agricultural</w:t>
            </w:r>
          </w:p>
        </w:tc>
        <w:tc>
          <w:tcPr>
            <w:tcW w:w="370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Pr="006A79B0" w:rsidRDefault="00FC0A1D" w:rsidP="00E13281">
            <w:pPr>
              <w:tabs>
                <w:tab w:val="decimal" w:pos="-2271"/>
                <w:tab w:val="decimal" w:pos="-1281"/>
                <w:tab w:val="left" w:pos="720"/>
                <w:tab w:val="left" w:pos="1080"/>
              </w:tabs>
              <w:spacing w:after="0" w:line="240" w:lineRule="auto"/>
              <w:ind w:right="288"/>
              <w:jc w:val="center"/>
              <w:rPr>
                <w:b/>
                <w:sz w:val="18"/>
                <w:szCs w:val="16"/>
              </w:rPr>
            </w:pPr>
            <w:r w:rsidRPr="00D46B1C">
              <w:rPr>
                <w:b/>
                <w:sz w:val="18"/>
                <w:szCs w:val="16"/>
              </w:rPr>
              <w:t>Residential and Non-Residential Hot Water Heating Systems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Faucet Aerators</w:t>
            </w:r>
          </w:p>
        </w:tc>
        <w:tc>
          <w:tcPr>
            <w:tcW w:w="266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DI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0.85</w:t>
            </w:r>
          </w:p>
        </w:tc>
        <w:tc>
          <w:tcPr>
            <w:tcW w:w="437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Default NTGR for direct install for hard to reach</w:t>
            </w:r>
          </w:p>
        </w:tc>
        <w:tc>
          <w:tcPr>
            <w:tcW w:w="336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Default</w:t>
            </w:r>
          </w:p>
        </w:tc>
        <w:tc>
          <w:tcPr>
            <w:tcW w:w="370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Cadmus, Res Retrofit 2006-08</w:t>
            </w:r>
          </w:p>
        </w:tc>
        <w:tc>
          <w:tcPr>
            <w:tcW w:w="5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0.59 Single Family</w:t>
            </w:r>
          </w:p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0.65 Multi family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  <w:highlight w:val="green"/>
              </w:rPr>
              <w:t>0.59</w:t>
            </w:r>
          </w:p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  <w:highlight w:val="green"/>
              </w:rPr>
              <w:t>0.65</w:t>
            </w:r>
          </w:p>
        </w:tc>
        <w:tc>
          <w:tcPr>
            <w:tcW w:w="4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D90BE0">
              <w:rPr>
                <w:color w:val="000000"/>
                <w:sz w:val="16"/>
                <w:szCs w:val="16"/>
              </w:rPr>
              <w:t>Single Family</w:t>
            </w:r>
          </w:p>
          <w:p w:rsidR="00FC0A1D" w:rsidRPr="00D90BE0" w:rsidRDefault="00FC0A1D" w:rsidP="00E13281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D90BE0">
              <w:rPr>
                <w:color w:val="000000"/>
                <w:sz w:val="16"/>
                <w:szCs w:val="16"/>
              </w:rPr>
              <w:t>Multi Family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Low Flow Showerheads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D</w:t>
            </w:r>
            <w:r w:rsidRPr="00D90BE0">
              <w:rPr>
                <w:rFonts w:eastAsiaTheme="minorHAnsi"/>
                <w:sz w:val="16"/>
                <w:szCs w:val="16"/>
              </w:rPr>
              <w:t>I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0.85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Default NTGR for direct install for hard to reach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Default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Cadmus, Res Retrofit 2006-08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-44"/>
                <w:tab w:val="decimal" w:pos="1036"/>
              </w:tabs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SCG(MF)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>0.72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1036"/>
              </w:tabs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SDGE(MF)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>0.68</w:t>
            </w:r>
          </w:p>
          <w:p w:rsidR="00FC0A1D" w:rsidRPr="00D90BE0" w:rsidRDefault="00FC0A1D" w:rsidP="00E13281">
            <w:pPr>
              <w:tabs>
                <w:tab w:val="left" w:pos="0"/>
                <w:tab w:val="decimal" w:pos="1036"/>
              </w:tabs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SDG&amp;E(SF)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>0.70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  <w:highlight w:val="cyan"/>
              </w:rPr>
            </w:pPr>
            <w:r w:rsidRPr="00D90BE0">
              <w:rPr>
                <w:sz w:val="16"/>
                <w:szCs w:val="16"/>
                <w:highlight w:val="cyan"/>
              </w:rPr>
              <w:t>0.70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D90BE0">
              <w:rPr>
                <w:color w:val="000000"/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lastRenderedPageBreak/>
              <w:t xml:space="preserve">Residential Gas Storage  Water Heater </w:t>
            </w:r>
            <w:r w:rsidRPr="00D90BE0">
              <w:rPr>
                <w:rFonts w:eastAsiaTheme="minorHAnsi"/>
                <w:sz w:val="16"/>
                <w:szCs w:val="16"/>
              </w:rPr>
              <w:t>EF&gt;0.62 &lt;0.65 Cap&gt;30 gallons</w:t>
            </w:r>
          </w:p>
        </w:tc>
        <w:tc>
          <w:tcPr>
            <w:tcW w:w="266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PR</w:t>
            </w:r>
            <w:r w:rsidRPr="00D90BE0">
              <w:rPr>
                <w:rFonts w:eastAsiaTheme="minorHAnsi"/>
                <w:sz w:val="16"/>
                <w:szCs w:val="16"/>
              </w:rPr>
              <w:t>D</w:t>
            </w:r>
            <w:r>
              <w:rPr>
                <w:rFonts w:eastAsiaTheme="minorHAnsi"/>
                <w:sz w:val="16"/>
                <w:szCs w:val="16"/>
              </w:rPr>
              <w:t>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0.58</w:t>
            </w:r>
          </w:p>
        </w:tc>
        <w:tc>
          <w:tcPr>
            <w:tcW w:w="437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Itron, 2004-05 Residential Retrofit</w:t>
            </w:r>
            <w:r w:rsidRPr="003C39BE">
              <w:rPr>
                <w:rStyle w:val="FootnoteReference"/>
                <w:rFonts w:eastAsiaTheme="minorHAnsi"/>
              </w:rPr>
              <w:footnoteReference w:id="11"/>
            </w:r>
          </w:p>
        </w:tc>
        <w:tc>
          <w:tcPr>
            <w:tcW w:w="336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SRA, Discrete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Choice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Cadmus, Res Retrofit 2006-08</w:t>
            </w:r>
          </w:p>
        </w:tc>
        <w:tc>
          <w:tcPr>
            <w:tcW w:w="5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SDGE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 xml:space="preserve">0.23  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PGE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 xml:space="preserve">0.18  </w:t>
            </w:r>
          </w:p>
        </w:tc>
        <w:tc>
          <w:tcPr>
            <w:tcW w:w="370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yellow"/>
              </w:rPr>
              <w:t>0.23</w:t>
            </w:r>
          </w:p>
        </w:tc>
        <w:tc>
          <w:tcPr>
            <w:tcW w:w="4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t>Residential Appliances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Clothes Washers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MEF 10%  &gt; than Energy Star</w:t>
            </w:r>
          </w:p>
        </w:tc>
        <w:tc>
          <w:tcPr>
            <w:tcW w:w="266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PR</w:t>
            </w:r>
            <w:r w:rsidRPr="00D90BE0">
              <w:rPr>
                <w:rFonts w:eastAsiaTheme="minorHAnsi"/>
                <w:sz w:val="16"/>
                <w:szCs w:val="16"/>
              </w:rPr>
              <w:t>D</w:t>
            </w:r>
            <w:r>
              <w:rPr>
                <w:rFonts w:eastAsiaTheme="minorHAnsi"/>
                <w:sz w:val="16"/>
                <w:szCs w:val="16"/>
              </w:rPr>
              <w:t>N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0.81</w:t>
            </w:r>
          </w:p>
        </w:tc>
        <w:tc>
          <w:tcPr>
            <w:tcW w:w="437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Itron, 2007</w:t>
            </w:r>
            <w:r w:rsidRPr="003C39BE">
              <w:rPr>
                <w:rStyle w:val="FootnoteReference"/>
                <w:rFonts w:eastAsiaTheme="minorHAnsi"/>
              </w:rPr>
              <w:footnoteReference w:id="12"/>
            </w:r>
          </w:p>
        </w:tc>
        <w:tc>
          <w:tcPr>
            <w:tcW w:w="336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admus</w:t>
            </w:r>
            <w:r w:rsidRPr="00D90BE0">
              <w:rPr>
                <w:sz w:val="16"/>
                <w:szCs w:val="16"/>
              </w:rPr>
              <w:t>, 2010</w:t>
            </w:r>
          </w:p>
        </w:tc>
        <w:tc>
          <w:tcPr>
            <w:tcW w:w="5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PGE2000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>0.31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SDGE3023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>0.31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SCG3517</w:t>
            </w:r>
            <w:r w:rsidRPr="00D90BE0">
              <w:rPr>
                <w:rFonts w:eastAsiaTheme="minorHAnsi"/>
                <w:sz w:val="16"/>
                <w:szCs w:val="16"/>
              </w:rPr>
              <w:tab/>
              <w:t>0.29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  <w:highlight w:val="yellow"/>
              </w:rPr>
              <w:t>0.31</w:t>
            </w:r>
          </w:p>
        </w:tc>
        <w:tc>
          <w:tcPr>
            <w:tcW w:w="4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Refrigerator Recycling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Res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>
              <w:rPr>
                <w:rFonts w:eastAsiaTheme="minorHAnsi"/>
                <w:sz w:val="16"/>
                <w:szCs w:val="18"/>
              </w:rPr>
              <w:t>PRDI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0.614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ADM, 2008</w:t>
            </w:r>
            <w:r w:rsidRPr="003C39BE">
              <w:rPr>
                <w:rStyle w:val="FootnoteReference"/>
                <w:rFonts w:eastAsiaTheme="minorHAnsi"/>
              </w:rPr>
              <w:footnoteReference w:id="13"/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SRA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participants and non-participants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Cadmus, 2010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PGE2000</w:t>
            </w:r>
            <w:r w:rsidRPr="00D90BE0">
              <w:rPr>
                <w:rFonts w:eastAsiaTheme="minorHAnsi"/>
                <w:sz w:val="16"/>
                <w:szCs w:val="18"/>
              </w:rPr>
              <w:tab/>
              <w:t>0.51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856"/>
              </w:tabs>
              <w:spacing w:after="0" w:line="240" w:lineRule="auto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SCE2500</w:t>
            </w:r>
            <w:r w:rsidRPr="00D90BE0">
              <w:rPr>
                <w:rFonts w:eastAsiaTheme="minorHAnsi"/>
                <w:sz w:val="16"/>
                <w:szCs w:val="18"/>
              </w:rPr>
              <w:tab/>
              <w:t>0.56</w:t>
            </w:r>
          </w:p>
          <w:p w:rsidR="00FC0A1D" w:rsidRPr="00D90BE0" w:rsidRDefault="00FC0A1D" w:rsidP="00E13281">
            <w:pPr>
              <w:tabs>
                <w:tab w:val="decimal" w:pos="0"/>
                <w:tab w:val="decimal" w:pos="867"/>
              </w:tabs>
              <w:spacing w:after="0" w:line="240" w:lineRule="auto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SDGE3028</w:t>
            </w:r>
            <w:r w:rsidRPr="00D90BE0">
              <w:rPr>
                <w:rFonts w:eastAsiaTheme="minorHAnsi"/>
                <w:sz w:val="16"/>
                <w:szCs w:val="18"/>
              </w:rPr>
              <w:tab/>
              <w:t>0.58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Self Report and Discrete Choice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  <w:highlight w:val="cyan"/>
              </w:rPr>
              <w:t>0.53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All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Freezer Recycling</w:t>
            </w:r>
          </w:p>
        </w:tc>
        <w:tc>
          <w:tcPr>
            <w:tcW w:w="266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Res</w:t>
            </w:r>
          </w:p>
        </w:tc>
        <w:tc>
          <w:tcPr>
            <w:tcW w:w="398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>
              <w:rPr>
                <w:rFonts w:eastAsiaTheme="minorHAnsi"/>
                <w:sz w:val="16"/>
                <w:szCs w:val="18"/>
              </w:rPr>
              <w:t>PRDI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0.702</w:t>
            </w:r>
          </w:p>
        </w:tc>
        <w:tc>
          <w:tcPr>
            <w:tcW w:w="437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8"/>
              </w:rPr>
            </w:pPr>
            <w:r w:rsidRPr="00D90BE0">
              <w:rPr>
                <w:rFonts w:eastAsiaTheme="minorHAnsi"/>
                <w:sz w:val="16"/>
                <w:szCs w:val="18"/>
              </w:rPr>
              <w:t>ADM, 2008</w:t>
            </w:r>
          </w:p>
        </w:tc>
        <w:tc>
          <w:tcPr>
            <w:tcW w:w="336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SRA</w:t>
            </w:r>
          </w:p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participants and non-participants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n/a</w:t>
            </w:r>
          </w:p>
        </w:tc>
        <w:tc>
          <w:tcPr>
            <w:tcW w:w="5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Not Evaluated</w:t>
            </w:r>
          </w:p>
        </w:tc>
        <w:tc>
          <w:tcPr>
            <w:tcW w:w="370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n/a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0.70</w:t>
            </w:r>
          </w:p>
        </w:tc>
        <w:tc>
          <w:tcPr>
            <w:tcW w:w="404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All</w:t>
            </w:r>
          </w:p>
        </w:tc>
        <w:tc>
          <w:tcPr>
            <w:tcW w:w="370" w:type="pct"/>
            <w:tcBorders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Statewide</w:t>
            </w:r>
          </w:p>
        </w:tc>
        <w:tc>
          <w:tcPr>
            <w:tcW w:w="415" w:type="pct"/>
            <w:tcBorders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8"/>
              </w:rPr>
            </w:pPr>
            <w:r w:rsidRPr="00D90BE0">
              <w:rPr>
                <w:sz w:val="16"/>
                <w:szCs w:val="18"/>
              </w:rPr>
              <w:t>None</w:t>
            </w:r>
          </w:p>
        </w:tc>
      </w:tr>
      <w:tr w:rsidR="00FC0A1D" w:rsidRPr="00D90BE0" w:rsidTr="00E13281">
        <w:trPr>
          <w:cantSplit/>
          <w:trHeight w:val="317"/>
          <w:jc w:val="center"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Pr="00D90BE0" w:rsidRDefault="00FC0A1D" w:rsidP="00E13281">
            <w:pPr>
              <w:keepNext/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t>Commercial Refrigeration</w:t>
            </w:r>
          </w:p>
        </w:tc>
      </w:tr>
      <w:tr w:rsidR="00FC0A1D" w:rsidRPr="00D90BE0" w:rsidTr="00E13281">
        <w:trPr>
          <w:cantSplit/>
          <w:trHeight w:val="781"/>
          <w:jc w:val="center"/>
        </w:trPr>
        <w:tc>
          <w:tcPr>
            <w:tcW w:w="402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Door Gaskets</w:t>
            </w:r>
          </w:p>
        </w:tc>
        <w:tc>
          <w:tcPr>
            <w:tcW w:w="266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Non-Res</w:t>
            </w:r>
          </w:p>
        </w:tc>
        <w:tc>
          <w:tcPr>
            <w:tcW w:w="398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A</w:t>
            </w:r>
            <w:r>
              <w:rPr>
                <w:rFonts w:eastAsiaTheme="minorHAnsi"/>
                <w:sz w:val="16"/>
                <w:szCs w:val="16"/>
              </w:rPr>
              <w:t>LL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0.46</w:t>
            </w:r>
          </w:p>
        </w:tc>
        <w:tc>
          <w:tcPr>
            <w:tcW w:w="437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Itron, December 2008</w:t>
            </w:r>
            <w:r w:rsidRPr="003C39BE">
              <w:rPr>
                <w:rStyle w:val="FootnoteReference"/>
                <w:rFonts w:eastAsiaTheme="minorHAnsi"/>
              </w:rPr>
              <w:footnoteReference w:id="14"/>
            </w:r>
          </w:p>
        </w:tc>
        <w:tc>
          <w:tcPr>
            <w:tcW w:w="336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ADM, Feb. 2010</w:t>
            </w:r>
            <w:r w:rsidRPr="003C39BE">
              <w:rPr>
                <w:rStyle w:val="FootnoteReference"/>
                <w:rFonts w:eastAsiaTheme="minorHAnsi"/>
              </w:rPr>
              <w:footnoteReference w:id="15"/>
            </w:r>
          </w:p>
        </w:tc>
        <w:tc>
          <w:tcPr>
            <w:tcW w:w="5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0.19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  <w:highlight w:val="yellow"/>
              </w:rPr>
              <w:t>0.19</w:t>
            </w:r>
          </w:p>
        </w:tc>
        <w:tc>
          <w:tcPr>
            <w:tcW w:w="404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Supermarkets, Convenience Stores, Restaurants</w:t>
            </w:r>
          </w:p>
        </w:tc>
        <w:tc>
          <w:tcPr>
            <w:tcW w:w="370" w:type="pct"/>
            <w:tcBorders>
              <w:top w:val="single" w:sz="8" w:space="0" w:color="000000"/>
              <w:bottom w:val="single" w:sz="6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Strip Curtains</w:t>
            </w:r>
          </w:p>
        </w:tc>
        <w:tc>
          <w:tcPr>
            <w:tcW w:w="266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on-Res</w:t>
            </w:r>
          </w:p>
        </w:tc>
        <w:tc>
          <w:tcPr>
            <w:tcW w:w="398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PR</w:t>
            </w:r>
            <w:r w:rsidRPr="00D90BE0">
              <w:rPr>
                <w:rFonts w:eastAsiaTheme="minorHAnsi"/>
                <w:sz w:val="16"/>
                <w:szCs w:val="16"/>
              </w:rPr>
              <w:t>D</w:t>
            </w:r>
            <w:r>
              <w:rPr>
                <w:rFonts w:eastAsiaTheme="minorHAnsi"/>
                <w:sz w:val="16"/>
                <w:szCs w:val="16"/>
              </w:rPr>
              <w:t>N</w:t>
            </w:r>
          </w:p>
        </w:tc>
        <w:tc>
          <w:tcPr>
            <w:tcW w:w="325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0.76</w:t>
            </w:r>
          </w:p>
        </w:tc>
        <w:tc>
          <w:tcPr>
            <w:tcW w:w="437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Itron, Dec. 2008</w:t>
            </w:r>
          </w:p>
        </w:tc>
        <w:tc>
          <w:tcPr>
            <w:tcW w:w="336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370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ADM, Feb. 2010</w:t>
            </w:r>
          </w:p>
        </w:tc>
        <w:tc>
          <w:tcPr>
            <w:tcW w:w="5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0.40</w:t>
            </w:r>
          </w:p>
        </w:tc>
        <w:tc>
          <w:tcPr>
            <w:tcW w:w="370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SRA</w:t>
            </w:r>
          </w:p>
        </w:tc>
        <w:tc>
          <w:tcPr>
            <w:tcW w:w="403" w:type="pct"/>
            <w:tcBorders>
              <w:left w:val="single" w:sz="12" w:space="0" w:color="000000"/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  <w:highlight w:val="green"/>
              </w:rPr>
              <w:t>0.40</w:t>
            </w:r>
          </w:p>
        </w:tc>
        <w:tc>
          <w:tcPr>
            <w:tcW w:w="404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Supermarkets, Convenience Stores, Restaurants</w:t>
            </w:r>
          </w:p>
        </w:tc>
        <w:tc>
          <w:tcPr>
            <w:tcW w:w="370" w:type="pct"/>
            <w:tcBorders>
              <w:bottom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bottom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5000" w:type="pct"/>
            <w:gridSpan w:val="1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FC0A1D" w:rsidRDefault="00FC0A1D" w:rsidP="00E13281">
            <w:pPr>
              <w:keepNext/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D90BE0">
              <w:rPr>
                <w:b/>
                <w:sz w:val="18"/>
                <w:szCs w:val="16"/>
              </w:rPr>
              <w:lastRenderedPageBreak/>
              <w:t>Default NTGR</w:t>
            </w:r>
            <w:r w:rsidRPr="00D90BE0">
              <w:rPr>
                <w:rStyle w:val="FootnoteReference"/>
                <w:b/>
                <w:vertAlign w:val="superscript"/>
              </w:rPr>
              <w:footnoteReference w:id="16"/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top w:val="single" w:sz="8" w:space="0" w:color="000000"/>
              <w:lef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No Evaluated NTGR</w:t>
            </w:r>
            <w:r>
              <w:rPr>
                <w:rFonts w:eastAsiaTheme="minorHAnsi"/>
                <w:sz w:val="16"/>
                <w:szCs w:val="16"/>
              </w:rPr>
              <w:t xml:space="preserve"> – Hard to Reach</w:t>
            </w:r>
          </w:p>
        </w:tc>
        <w:tc>
          <w:tcPr>
            <w:tcW w:w="266" w:type="pct"/>
            <w:tcBorders>
              <w:top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top w:val="single" w:sz="8" w:space="0" w:color="000000"/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DI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0.85</w:t>
            </w:r>
          </w:p>
        </w:tc>
        <w:tc>
          <w:tcPr>
            <w:tcW w:w="437" w:type="pct"/>
            <w:tcBorders>
              <w:top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DEER staff</w:t>
            </w:r>
          </w:p>
        </w:tc>
        <w:tc>
          <w:tcPr>
            <w:tcW w:w="336" w:type="pct"/>
            <w:tcBorders>
              <w:top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Lit Search</w:t>
            </w:r>
          </w:p>
        </w:tc>
        <w:tc>
          <w:tcPr>
            <w:tcW w:w="370" w:type="pct"/>
            <w:tcBorders>
              <w:top w:val="single" w:sz="8" w:space="0" w:color="000000"/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Not Evaluated</w:t>
            </w:r>
          </w:p>
        </w:tc>
        <w:tc>
          <w:tcPr>
            <w:tcW w:w="504" w:type="pct"/>
            <w:tcBorders>
              <w:top w:val="single" w:sz="8" w:space="0" w:color="000000"/>
            </w:tcBorders>
            <w:vAlign w:val="center"/>
          </w:tcPr>
          <w:p w:rsidR="00FC0A1D" w:rsidRPr="00D90BE0" w:rsidRDefault="00316F53" w:rsidP="00316F53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 xml:space="preserve">See Section 15 for a discussion of  how the NTGR values were derived. </w:t>
            </w:r>
          </w:p>
        </w:tc>
        <w:tc>
          <w:tcPr>
            <w:tcW w:w="370" w:type="pct"/>
            <w:tcBorders>
              <w:top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n/a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0.85</w:t>
            </w:r>
          </w:p>
        </w:tc>
        <w:tc>
          <w:tcPr>
            <w:tcW w:w="404" w:type="pct"/>
            <w:tcBorders>
              <w:top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All</w:t>
            </w:r>
          </w:p>
        </w:tc>
        <w:tc>
          <w:tcPr>
            <w:tcW w:w="370" w:type="pct"/>
            <w:tcBorders>
              <w:top w:val="single" w:sz="8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top w:val="single" w:sz="8" w:space="0" w:color="000000"/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ind w:firstLine="158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 xml:space="preserve">No Evaluated NTGR </w:t>
            </w:r>
            <w:r>
              <w:rPr>
                <w:rFonts w:eastAsiaTheme="minorHAnsi"/>
                <w:sz w:val="16"/>
                <w:szCs w:val="16"/>
              </w:rPr>
              <w:t xml:space="preserve">- </w:t>
            </w:r>
            <w:r w:rsidRPr="00D90BE0">
              <w:rPr>
                <w:rFonts w:eastAsiaTheme="minorHAnsi"/>
                <w:sz w:val="16"/>
                <w:szCs w:val="16"/>
              </w:rPr>
              <w:t>New or emerging technologies in programs &lt;2 years</w:t>
            </w:r>
          </w:p>
        </w:tc>
        <w:tc>
          <w:tcPr>
            <w:tcW w:w="266" w:type="pct"/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Res, Comm.</w:t>
            </w:r>
          </w:p>
        </w:tc>
        <w:tc>
          <w:tcPr>
            <w:tcW w:w="398" w:type="pct"/>
            <w:tcBorders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ALLXDI</w:t>
            </w:r>
          </w:p>
        </w:tc>
        <w:tc>
          <w:tcPr>
            <w:tcW w:w="325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0.70</w:t>
            </w:r>
          </w:p>
        </w:tc>
        <w:tc>
          <w:tcPr>
            <w:tcW w:w="437" w:type="pct"/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DEER staff</w:t>
            </w:r>
          </w:p>
        </w:tc>
        <w:tc>
          <w:tcPr>
            <w:tcW w:w="336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Lit Search</w:t>
            </w:r>
          </w:p>
        </w:tc>
        <w:tc>
          <w:tcPr>
            <w:tcW w:w="370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Not Evaluated</w:t>
            </w:r>
          </w:p>
        </w:tc>
        <w:tc>
          <w:tcPr>
            <w:tcW w:w="504" w:type="pct"/>
            <w:vAlign w:val="center"/>
          </w:tcPr>
          <w:p w:rsidR="00FC0A1D" w:rsidRPr="00D90BE0" w:rsidRDefault="00316F53" w:rsidP="00316F53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See Section 15 for a discussion of  how these NTGR values were derived.</w:t>
            </w:r>
          </w:p>
        </w:tc>
        <w:tc>
          <w:tcPr>
            <w:tcW w:w="370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n/a</w:t>
            </w:r>
          </w:p>
        </w:tc>
        <w:tc>
          <w:tcPr>
            <w:tcW w:w="403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0.70</w:t>
            </w:r>
          </w:p>
        </w:tc>
        <w:tc>
          <w:tcPr>
            <w:tcW w:w="404" w:type="pct"/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All</w:t>
            </w:r>
          </w:p>
        </w:tc>
        <w:tc>
          <w:tcPr>
            <w:tcW w:w="370" w:type="pct"/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ind w:firstLine="158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 xml:space="preserve">No Evaluated NTGR </w:t>
            </w:r>
            <w:r>
              <w:rPr>
                <w:rFonts w:eastAsiaTheme="minorHAnsi"/>
                <w:sz w:val="16"/>
                <w:szCs w:val="16"/>
              </w:rPr>
              <w:t xml:space="preserve">- </w:t>
            </w:r>
            <w:r w:rsidRPr="00D90BE0">
              <w:rPr>
                <w:rFonts w:eastAsiaTheme="minorHAnsi"/>
                <w:sz w:val="16"/>
                <w:szCs w:val="16"/>
              </w:rPr>
              <w:t>Existing Measures with same delivery mechanism for &gt; 2 years</w:t>
            </w:r>
          </w:p>
        </w:tc>
        <w:tc>
          <w:tcPr>
            <w:tcW w:w="266" w:type="pct"/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Industrial / Agri</w:t>
            </w:r>
            <w:r w:rsidR="00316F53">
              <w:rPr>
                <w:sz w:val="16"/>
                <w:szCs w:val="16"/>
              </w:rPr>
              <w:t>/Comm</w:t>
            </w:r>
          </w:p>
        </w:tc>
        <w:tc>
          <w:tcPr>
            <w:tcW w:w="398" w:type="pct"/>
            <w:tcBorders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ALLXDI</w:t>
            </w:r>
          </w:p>
        </w:tc>
        <w:tc>
          <w:tcPr>
            <w:tcW w:w="325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0.54</w:t>
            </w:r>
          </w:p>
        </w:tc>
        <w:tc>
          <w:tcPr>
            <w:tcW w:w="437" w:type="pct"/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DEER staff</w:t>
            </w:r>
          </w:p>
        </w:tc>
        <w:tc>
          <w:tcPr>
            <w:tcW w:w="336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Lit Search</w:t>
            </w:r>
          </w:p>
        </w:tc>
        <w:tc>
          <w:tcPr>
            <w:tcW w:w="370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Not Evaluated</w:t>
            </w:r>
          </w:p>
        </w:tc>
        <w:tc>
          <w:tcPr>
            <w:tcW w:w="504" w:type="pct"/>
            <w:vAlign w:val="center"/>
          </w:tcPr>
          <w:p w:rsidR="00FC0A1D" w:rsidRPr="00D90BE0" w:rsidRDefault="00316F53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See Section 15 for a discussion of  how these NTGR values were derived.</w:t>
            </w:r>
          </w:p>
        </w:tc>
        <w:tc>
          <w:tcPr>
            <w:tcW w:w="370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n/a</w:t>
            </w:r>
          </w:p>
        </w:tc>
        <w:tc>
          <w:tcPr>
            <w:tcW w:w="403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316F53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0.60</w:t>
            </w:r>
          </w:p>
        </w:tc>
        <w:tc>
          <w:tcPr>
            <w:tcW w:w="404" w:type="pct"/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All</w:t>
            </w:r>
          </w:p>
        </w:tc>
        <w:tc>
          <w:tcPr>
            <w:tcW w:w="370" w:type="pct"/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ind w:firstLine="158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  <w:tr w:rsidR="00FC0A1D" w:rsidRPr="00D90BE0" w:rsidTr="00E13281">
        <w:trPr>
          <w:cantSplit/>
          <w:trHeight w:val="322"/>
          <w:jc w:val="center"/>
        </w:trPr>
        <w:tc>
          <w:tcPr>
            <w:tcW w:w="402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 xml:space="preserve">No Evaluated NTGR </w:t>
            </w:r>
            <w:r>
              <w:rPr>
                <w:rFonts w:eastAsiaTheme="minorHAnsi"/>
                <w:sz w:val="16"/>
                <w:szCs w:val="16"/>
              </w:rPr>
              <w:t xml:space="preserve">- </w:t>
            </w:r>
            <w:r w:rsidRPr="00D90BE0">
              <w:rPr>
                <w:rFonts w:eastAsiaTheme="minorHAnsi"/>
                <w:sz w:val="16"/>
                <w:szCs w:val="16"/>
              </w:rPr>
              <w:t>Existing Measures with same delivery mechanism for &gt; 2 years</w:t>
            </w:r>
          </w:p>
        </w:tc>
        <w:tc>
          <w:tcPr>
            <w:tcW w:w="266" w:type="pct"/>
            <w:vAlign w:val="center"/>
          </w:tcPr>
          <w:p w:rsidR="00FC0A1D" w:rsidRPr="00D90BE0" w:rsidRDefault="00FC0A1D" w:rsidP="00316F5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Res</w:t>
            </w:r>
          </w:p>
        </w:tc>
        <w:tc>
          <w:tcPr>
            <w:tcW w:w="398" w:type="pct"/>
            <w:tcBorders>
              <w:right w:val="single" w:sz="12" w:space="0" w:color="000000"/>
            </w:tcBorders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ALLXDI</w:t>
            </w:r>
          </w:p>
        </w:tc>
        <w:tc>
          <w:tcPr>
            <w:tcW w:w="325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n/a</w:t>
            </w:r>
          </w:p>
        </w:tc>
        <w:tc>
          <w:tcPr>
            <w:tcW w:w="437" w:type="pct"/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n/a</w:t>
            </w:r>
          </w:p>
        </w:tc>
        <w:tc>
          <w:tcPr>
            <w:tcW w:w="336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n/a</w:t>
            </w:r>
          </w:p>
        </w:tc>
        <w:tc>
          <w:tcPr>
            <w:tcW w:w="370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tabs>
                <w:tab w:val="left" w:pos="1331"/>
                <w:tab w:val="left" w:pos="2231"/>
              </w:tabs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Not Evaluated</w:t>
            </w:r>
          </w:p>
        </w:tc>
        <w:tc>
          <w:tcPr>
            <w:tcW w:w="504" w:type="pct"/>
            <w:vAlign w:val="center"/>
          </w:tcPr>
          <w:p w:rsidR="00FC0A1D" w:rsidRPr="00D90BE0" w:rsidRDefault="00316F53" w:rsidP="00E13281">
            <w:pPr>
              <w:spacing w:after="0" w:line="240" w:lineRule="auto"/>
              <w:jc w:val="left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See Section 15 for a discussion of  how these NTGR values were derived.</w:t>
            </w:r>
          </w:p>
        </w:tc>
        <w:tc>
          <w:tcPr>
            <w:tcW w:w="370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n/a</w:t>
            </w:r>
          </w:p>
        </w:tc>
        <w:tc>
          <w:tcPr>
            <w:tcW w:w="403" w:type="pct"/>
            <w:tcBorders>
              <w:lef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 w:rsidRPr="00D90BE0">
              <w:rPr>
                <w:rFonts w:eastAsiaTheme="minorHAnsi"/>
                <w:sz w:val="16"/>
                <w:szCs w:val="16"/>
              </w:rPr>
              <w:t>0.5</w:t>
            </w:r>
            <w:r w:rsidR="00316F53">
              <w:rPr>
                <w:rFonts w:eastAsiaTheme="minorHAnsi"/>
                <w:sz w:val="16"/>
                <w:szCs w:val="16"/>
              </w:rPr>
              <w:t>5</w:t>
            </w:r>
          </w:p>
        </w:tc>
        <w:tc>
          <w:tcPr>
            <w:tcW w:w="404" w:type="pct"/>
            <w:vAlign w:val="center"/>
          </w:tcPr>
          <w:p w:rsidR="00FC0A1D" w:rsidRDefault="00FC0A1D" w:rsidP="00E13281">
            <w:pPr>
              <w:spacing w:after="0" w:line="240" w:lineRule="auto"/>
              <w:jc w:val="center"/>
              <w:rPr>
                <w:rFonts w:eastAsiaTheme="minorHAnsi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</w:rPr>
              <w:t>All</w:t>
            </w:r>
          </w:p>
        </w:tc>
        <w:tc>
          <w:tcPr>
            <w:tcW w:w="370" w:type="pct"/>
            <w:vAlign w:val="center"/>
          </w:tcPr>
          <w:p w:rsidR="00FC0A1D" w:rsidRPr="00D90BE0" w:rsidRDefault="00FC0A1D" w:rsidP="00E13281">
            <w:pPr>
              <w:tabs>
                <w:tab w:val="decimal" w:pos="-2271"/>
                <w:tab w:val="decimal" w:pos="-1281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Statewide</w:t>
            </w:r>
          </w:p>
        </w:tc>
        <w:tc>
          <w:tcPr>
            <w:tcW w:w="415" w:type="pct"/>
            <w:tcBorders>
              <w:right w:val="single" w:sz="12" w:space="0" w:color="000000"/>
            </w:tcBorders>
            <w:vAlign w:val="center"/>
          </w:tcPr>
          <w:p w:rsidR="00FC0A1D" w:rsidRPr="00D90BE0" w:rsidRDefault="00FC0A1D" w:rsidP="00E13281">
            <w:pPr>
              <w:spacing w:after="0" w:line="240" w:lineRule="auto"/>
              <w:ind w:firstLine="158"/>
              <w:jc w:val="center"/>
              <w:rPr>
                <w:sz w:val="16"/>
                <w:szCs w:val="16"/>
              </w:rPr>
            </w:pPr>
            <w:r w:rsidRPr="00D90BE0">
              <w:rPr>
                <w:sz w:val="16"/>
                <w:szCs w:val="16"/>
              </w:rPr>
              <w:t>None</w:t>
            </w:r>
          </w:p>
        </w:tc>
      </w:tr>
    </w:tbl>
    <w:p w:rsidR="006C1F61" w:rsidRDefault="006C1F61" w:rsidP="006C1F61">
      <w:pPr>
        <w:spacing w:after="0" w:line="240" w:lineRule="auto"/>
        <w:rPr>
          <w:sz w:val="16"/>
        </w:rPr>
      </w:pPr>
      <w:r w:rsidRPr="00D46B1C">
        <w:rPr>
          <w:sz w:val="22"/>
        </w:rPr>
        <w:t>*</w:t>
      </w:r>
      <w:r w:rsidRPr="00D46B1C">
        <w:rPr>
          <w:sz w:val="16"/>
        </w:rPr>
        <w:t>The Program Delivery Methods in this table and in the database update use the following convention: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CIDN</w:t>
      </w:r>
      <w:r w:rsidRPr="00D46B1C">
        <w:rPr>
          <w:sz w:val="16"/>
        </w:rPr>
        <w:t xml:space="preserve">: Custom or Calculated Incentive based on site or project related parameters; paid downstream to customer. Database Code: </w:t>
      </w:r>
      <w:r w:rsidRPr="00D46B1C">
        <w:rPr>
          <w:b/>
          <w:sz w:val="16"/>
        </w:rPr>
        <w:t>CustIncentDown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CIDI</w:t>
      </w:r>
      <w:r w:rsidRPr="00D46B1C">
        <w:rPr>
          <w:sz w:val="16"/>
        </w:rPr>
        <w:t xml:space="preserve">: Custom or Calculated Incentive based on site or project related parameters; paid to a contractor (Direct Install or Mid-stream). Database Code: </w:t>
      </w:r>
      <w:r w:rsidRPr="00D46B1C">
        <w:rPr>
          <w:b/>
          <w:sz w:val="16"/>
        </w:rPr>
        <w:t>CustIncentDI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CI</w:t>
      </w:r>
      <w:r w:rsidRPr="00D46B1C">
        <w:rPr>
          <w:sz w:val="16"/>
        </w:rPr>
        <w:t xml:space="preserve">: Custom or Calculated Incentive based on site or project parameters; paid to either a contractor (Direct Install or Mid-stream) or customer (Indexes 1 &amp;2). Database Code: </w:t>
      </w:r>
      <w:r w:rsidRPr="00D46B1C">
        <w:rPr>
          <w:b/>
          <w:sz w:val="16"/>
        </w:rPr>
        <w:t>CustIncent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DI</w:t>
      </w:r>
      <w:r w:rsidRPr="00D46B1C">
        <w:rPr>
          <w:sz w:val="16"/>
        </w:rPr>
        <w:t xml:space="preserve">: Custom or Prescriptive incentive or reimbursement for services; paid to a contractor (Direct Install or Mid-stream) (Indexes 2 &amp; 6). Database Code: </w:t>
      </w:r>
      <w:r w:rsidRPr="00D46B1C">
        <w:rPr>
          <w:b/>
          <w:sz w:val="16"/>
        </w:rPr>
        <w:t>DirInstall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PRDN</w:t>
      </w:r>
      <w:r w:rsidRPr="00D46B1C">
        <w:rPr>
          <w:sz w:val="16"/>
        </w:rPr>
        <w:t xml:space="preserve">: Prescriptive (fixed) rebate; paid downstream to customer. Database Code: </w:t>
      </w:r>
      <w:r w:rsidRPr="00D46B1C">
        <w:rPr>
          <w:b/>
          <w:sz w:val="16"/>
        </w:rPr>
        <w:t>PreRebDown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PRDI</w:t>
      </w:r>
      <w:r w:rsidRPr="00D46B1C">
        <w:rPr>
          <w:sz w:val="16"/>
        </w:rPr>
        <w:t xml:space="preserve">: Prescriptive (fixed) rebate or reimbursement for services; paid downstream or midstream to contractor (Direct install or midstream). Database Code: </w:t>
      </w:r>
      <w:r w:rsidRPr="00D46B1C">
        <w:rPr>
          <w:b/>
          <w:sz w:val="16"/>
        </w:rPr>
        <w:t>PreRebDI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PR</w:t>
      </w:r>
      <w:r w:rsidRPr="00D46B1C">
        <w:rPr>
          <w:sz w:val="16"/>
        </w:rPr>
        <w:t xml:space="preserve">: Prescriptive (fixed) rebate or reimbursement for services; paid to either a contractor (Direct Install or Mid-stream) or customer (Indexes 5 &amp; 6). Database Code: </w:t>
      </w:r>
      <w:r w:rsidRPr="00D46B1C">
        <w:rPr>
          <w:b/>
          <w:sz w:val="16"/>
        </w:rPr>
        <w:t>PreReb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OBF</w:t>
      </w:r>
      <w:r w:rsidRPr="00D46B1C">
        <w:rPr>
          <w:sz w:val="16"/>
        </w:rPr>
        <w:t xml:space="preserve">: Custom or prescriptive incentive in form of financing; paid to customer via on bill financing. Database Code: </w:t>
      </w:r>
      <w:r w:rsidRPr="00D46B1C">
        <w:rPr>
          <w:b/>
          <w:sz w:val="16"/>
        </w:rPr>
        <w:t>OnBill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PRUP</w:t>
      </w:r>
      <w:r w:rsidRPr="00D46B1C">
        <w:rPr>
          <w:sz w:val="16"/>
        </w:rPr>
        <w:t xml:space="preserve">: Prescriptive (fixed) rebate; paid upstream to manufacturer or distributor. Database Code: </w:t>
      </w:r>
      <w:r w:rsidRPr="00D46B1C">
        <w:rPr>
          <w:b/>
          <w:sz w:val="16"/>
        </w:rPr>
        <w:t>PreRebUp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DSVC</w:t>
      </w:r>
      <w:r w:rsidRPr="00D46B1C">
        <w:rPr>
          <w:sz w:val="16"/>
        </w:rPr>
        <w:t xml:space="preserve">: Service provided by the implementer at no cost to the participant. Example: free pump tests from SCE Hydraulic Services Group, etc. Database Code: </w:t>
      </w:r>
      <w:r w:rsidRPr="00D46B1C">
        <w:rPr>
          <w:b/>
          <w:sz w:val="16"/>
        </w:rPr>
        <w:t>DirectSvc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ALL</w:t>
      </w:r>
      <w:r w:rsidRPr="00D46B1C">
        <w:rPr>
          <w:sz w:val="16"/>
        </w:rPr>
        <w:t xml:space="preserve">: All program delivery methods (Indexes 1 - 10). Database Code: </w:t>
      </w:r>
      <w:r w:rsidRPr="00D46B1C">
        <w:rPr>
          <w:b/>
          <w:sz w:val="16"/>
        </w:rPr>
        <w:t>All</w:t>
      </w:r>
      <w:r w:rsidRPr="00D46B1C">
        <w:rPr>
          <w:sz w:val="16"/>
        </w:rPr>
        <w:t>.</w:t>
      </w:r>
    </w:p>
    <w:p w:rsidR="006C1F61" w:rsidRDefault="006C1F61" w:rsidP="006C1F61">
      <w:pPr>
        <w:pStyle w:val="ListParagraph"/>
        <w:numPr>
          <w:ilvl w:val="0"/>
          <w:numId w:val="48"/>
        </w:numPr>
        <w:spacing w:after="0" w:line="240" w:lineRule="auto"/>
        <w:rPr>
          <w:sz w:val="16"/>
        </w:rPr>
      </w:pPr>
      <w:r w:rsidRPr="00D46B1C">
        <w:rPr>
          <w:b/>
          <w:sz w:val="16"/>
        </w:rPr>
        <w:t>ALLXDI</w:t>
      </w:r>
      <w:r w:rsidRPr="00D46B1C">
        <w:rPr>
          <w:sz w:val="16"/>
        </w:rPr>
        <w:t xml:space="preserve">: All program delivery methods except Direct Install (Indexes 1, 5, 8, 9, &amp; 10). Database Code: </w:t>
      </w:r>
      <w:r w:rsidRPr="00D46B1C">
        <w:rPr>
          <w:b/>
          <w:sz w:val="16"/>
        </w:rPr>
        <w:t>AllxDI</w:t>
      </w:r>
      <w:r w:rsidRPr="00D46B1C">
        <w:rPr>
          <w:sz w:val="16"/>
        </w:rPr>
        <w:t>.</w:t>
      </w:r>
    </w:p>
    <w:p w:rsidR="00226D32" w:rsidRDefault="00226D32" w:rsidP="00BB7068"/>
    <w:sectPr w:rsidR="00226D32" w:rsidSect="003C39BE">
      <w:headerReference w:type="default" r:id="rId12"/>
      <w:footerReference w:type="default" r:id="rId13"/>
      <w:headerReference w:type="first" r:id="rId14"/>
      <w:footerReference w:type="first" r:id="rId15"/>
      <w:pgSz w:w="15840" w:h="12240" w:orient="landscape" w:code="1"/>
      <w:pgMar w:top="1440" w:right="1440" w:bottom="1440" w:left="1440" w:header="720" w:footer="72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281" w:rsidRDefault="00E13281" w:rsidP="00B253DF">
      <w:pPr>
        <w:spacing w:after="0" w:line="240" w:lineRule="auto"/>
      </w:pPr>
      <w:r>
        <w:separator/>
      </w:r>
    </w:p>
  </w:endnote>
  <w:endnote w:type="continuationSeparator" w:id="0">
    <w:p w:rsidR="00E13281" w:rsidRDefault="00E13281" w:rsidP="00B25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Default="00E13281" w:rsidP="000E31C7">
    <w:pPr>
      <w:pStyle w:val="Footer"/>
      <w:tabs>
        <w:tab w:val="clear" w:pos="4680"/>
        <w:tab w:val="clear" w:pos="9360"/>
        <w:tab w:val="center" w:pos="6300"/>
        <w:tab w:val="right" w:pos="12960"/>
      </w:tabs>
    </w:pPr>
    <w:r>
      <w:t>Itron, Inc.</w:t>
    </w:r>
    <w:r>
      <w:tab/>
    </w:r>
    <w:sdt>
      <w:sdtPr>
        <w:id w:val="27589668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>
          <w:t xml:space="preserve">Page </w:t>
        </w:r>
        <w:r w:rsidR="004D4D42">
          <w:rPr>
            <w:b/>
          </w:rPr>
          <w:fldChar w:fldCharType="begin"/>
        </w:r>
        <w:r>
          <w:rPr>
            <w:b/>
          </w:rPr>
          <w:instrText xml:space="preserve"> PAGE </w:instrText>
        </w:r>
        <w:r w:rsidR="004D4D42">
          <w:rPr>
            <w:b/>
          </w:rPr>
          <w:fldChar w:fldCharType="separate"/>
        </w:r>
        <w:r>
          <w:rPr>
            <w:b/>
            <w:noProof/>
          </w:rPr>
          <w:t>6-2</w:t>
        </w:r>
        <w:r w:rsidR="004D4D42">
          <w:rPr>
            <w:b/>
          </w:rPr>
          <w:fldChar w:fldCharType="end"/>
        </w:r>
        <w:r>
          <w:t xml:space="preserve"> of </w:t>
        </w:r>
        <w:r w:rsidR="004D4D42">
          <w:rPr>
            <w:b/>
          </w:rPr>
          <w:fldChar w:fldCharType="begin"/>
        </w:r>
        <w:r>
          <w:rPr>
            <w:b/>
          </w:rPr>
          <w:instrText xml:space="preserve"> NUMPAGES  </w:instrText>
        </w:r>
        <w:r w:rsidR="004D4D42">
          <w:rPr>
            <w:b/>
          </w:rPr>
          <w:fldChar w:fldCharType="separate"/>
        </w:r>
        <w:r>
          <w:rPr>
            <w:b/>
            <w:noProof/>
          </w:rPr>
          <w:t>7</w:t>
        </w:r>
        <w:r w:rsidR="004D4D42">
          <w:rPr>
            <w:b/>
          </w:rPr>
          <w:fldChar w:fldCharType="end"/>
        </w:r>
      </w:sdtContent>
    </w:sdt>
    <w:r>
      <w:tab/>
      <w:t>October 25, 2011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Pr="00D90BE0" w:rsidRDefault="00E13281" w:rsidP="00D90BE0">
    <w:pPr>
      <w:pStyle w:val="Footer"/>
      <w:tabs>
        <w:tab w:val="clear" w:pos="4680"/>
        <w:tab w:val="center" w:pos="4500"/>
        <w:tab w:val="right" w:pos="12960"/>
      </w:tabs>
    </w:pPr>
    <w:r>
      <w:t>Itron, Inc.</w:t>
    </w:r>
    <w:r>
      <w:tab/>
    </w:r>
    <w:fldSimple w:instr=" PAGE   \* MERGEFORMAT ">
      <w:r w:rsidR="00FF0706">
        <w:rPr>
          <w:noProof/>
        </w:rPr>
        <w:t>6-1</w:t>
      </w:r>
    </w:fldSimple>
    <w:r>
      <w:tab/>
      <w:t>Overall Summary NTGR Tables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Pr="003C39BE" w:rsidRDefault="00E13281" w:rsidP="003C39BE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Itron, Inc.</w:t>
    </w:r>
    <w:r>
      <w:tab/>
    </w:r>
    <w:fldSimple w:instr=" PAGE   \* MERGEFORMAT ">
      <w:r w:rsidR="00FF0706">
        <w:rPr>
          <w:noProof/>
        </w:rPr>
        <w:t>6-4</w:t>
      </w:r>
    </w:fldSimple>
    <w:r>
      <w:tab/>
      <w:t>Overall Summary NTGR Table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Pr="003C39BE" w:rsidRDefault="00E13281" w:rsidP="003C39BE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Itron, Inc.</w:t>
    </w:r>
    <w:r>
      <w:tab/>
    </w:r>
    <w:fldSimple w:instr=" PAGE   \* MERGEFORMAT ">
      <w:r w:rsidR="00FF0706">
        <w:rPr>
          <w:noProof/>
        </w:rPr>
        <w:t>6-2</w:t>
      </w:r>
    </w:fldSimple>
    <w:r>
      <w:tab/>
      <w:t>Overall Summary NTGR Table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281" w:rsidRDefault="00E13281" w:rsidP="00B253DF">
      <w:pPr>
        <w:spacing w:after="0" w:line="240" w:lineRule="auto"/>
      </w:pPr>
      <w:r>
        <w:separator/>
      </w:r>
    </w:p>
  </w:footnote>
  <w:footnote w:type="continuationSeparator" w:id="0">
    <w:p w:rsidR="00E13281" w:rsidRDefault="00E13281" w:rsidP="00B253DF">
      <w:pPr>
        <w:spacing w:after="0" w:line="240" w:lineRule="auto"/>
      </w:pPr>
      <w:r>
        <w:continuationSeparator/>
      </w:r>
    </w:p>
  </w:footnote>
  <w:footnote w:id="1">
    <w:p w:rsidR="00E13281" w:rsidRDefault="00E13281" w:rsidP="008648EA">
      <w:pPr>
        <w:pStyle w:val="FootnoteText"/>
      </w:pPr>
      <w:r w:rsidRPr="00D90BE0">
        <w:rPr>
          <w:rStyle w:val="FootnoteReference"/>
        </w:rPr>
        <w:footnoteRef/>
      </w:r>
      <w:r w:rsidRPr="00D90BE0">
        <w:rPr>
          <w:rStyle w:val="FootnoteReference"/>
        </w:rPr>
        <w:t xml:space="preserve">   </w:t>
      </w:r>
      <w:r>
        <w:tab/>
      </w:r>
      <w:r w:rsidRPr="00FC0A1D">
        <w:t>The non-residential lighting NTGR values are available by specific building types in the “Recommended Updates to Net-to-Gross Ratios for Non-residential Lighting Measures” document and can be used to exclude a building type from the weighted NTGR value and a new weighted value estimated.</w:t>
      </w:r>
    </w:p>
  </w:footnote>
  <w:footnote w:id="2">
    <w:p w:rsidR="00E13281" w:rsidRPr="004F78A6" w:rsidRDefault="00E13281" w:rsidP="008648EA">
      <w:pPr>
        <w:pStyle w:val="FootnoteText"/>
        <w:rPr>
          <w:szCs w:val="18"/>
        </w:rPr>
      </w:pPr>
      <w:r>
        <w:rPr>
          <w:rStyle w:val="FootnoteReference"/>
        </w:rPr>
        <w:footnoteRef/>
      </w:r>
      <w:r w:rsidRPr="00D90BE0">
        <w:rPr>
          <w:rStyle w:val="FootnoteReference"/>
        </w:rPr>
        <w:t xml:space="preserve">   </w:t>
      </w:r>
      <w:r>
        <w:tab/>
      </w:r>
      <w:r w:rsidRPr="00D46B1C">
        <w:rPr>
          <w:rStyle w:val="FootnoteReference"/>
          <w:szCs w:val="20"/>
        </w:rPr>
        <w:t>Consider excluding T-12 and first generation T-8 fixtures as of July 2012 by designating a zero NTGR after new federal standards become effective.</w:t>
      </w:r>
    </w:p>
  </w:footnote>
  <w:footnote w:id="3">
    <w:p w:rsidR="00E13281" w:rsidRPr="003C39BE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  </w:t>
      </w:r>
      <w:r w:rsidRPr="00FC0A1D">
        <w:t>Itron, PG&amp;E Fabrication, Process and Manufacturing Group, February 2010.</w:t>
      </w:r>
    </w:p>
  </w:footnote>
  <w:footnote w:id="4">
    <w:p w:rsidR="00E13281" w:rsidRPr="004F78A6" w:rsidRDefault="00E13281" w:rsidP="00FC0A1D">
      <w:pPr>
        <w:spacing w:after="0" w:line="240" w:lineRule="auto"/>
        <w:ind w:left="187" w:hanging="187"/>
        <w:jc w:val="left"/>
        <w:rPr>
          <w:rFonts w:asciiTheme="minorHAnsi" w:hAnsiTheme="minorHAnsi" w:cstheme="minorHAnsi"/>
          <w:sz w:val="16"/>
          <w:szCs w:val="18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D46B1C">
        <w:rPr>
          <w:rStyle w:val="FootnoteTextChar"/>
          <w:szCs w:val="20"/>
        </w:rPr>
        <w:t>Itron, July 7, 2009 Early Feedback Memo to Support CPUC and IOU Planning Regarding Pump-Off Controller Interventions in 2009-2011.</w:t>
      </w:r>
    </w:p>
  </w:footnote>
  <w:footnote w:id="5">
    <w:p w:rsidR="00E13281" w:rsidRPr="003C39BE" w:rsidRDefault="00E13281" w:rsidP="00FC0A1D">
      <w:pPr>
        <w:spacing w:after="0" w:line="240" w:lineRule="auto"/>
        <w:ind w:left="187" w:hanging="187"/>
        <w:jc w:val="left"/>
        <w:rPr>
          <w:rStyle w:val="FootnoteTextChar"/>
          <w:sz w:val="20"/>
          <w:szCs w:val="20"/>
        </w:rPr>
      </w:pPr>
      <w:r w:rsidRPr="003C39BE">
        <w:rPr>
          <w:rStyle w:val="FootnoteReference"/>
        </w:rPr>
        <w:footnoteRef/>
      </w:r>
      <w:r>
        <w:t xml:space="preserve"> </w:t>
      </w:r>
      <w:r>
        <w:tab/>
      </w:r>
      <w:r w:rsidRPr="00D46B1C">
        <w:rPr>
          <w:rStyle w:val="FootnoteTextChar"/>
          <w:szCs w:val="20"/>
        </w:rPr>
        <w:t xml:space="preserve">SBW Major Commercial Contract Group - Final Impact Evaluation Report 2006-2008 Program Years.  </w:t>
      </w:r>
    </w:p>
  </w:footnote>
  <w:footnote w:id="6">
    <w:p w:rsidR="00E13281" w:rsidRPr="004F78A6" w:rsidRDefault="00E13281" w:rsidP="00FC0A1D">
      <w:pPr>
        <w:spacing w:after="0" w:line="240" w:lineRule="auto"/>
        <w:ind w:left="187" w:hanging="187"/>
        <w:jc w:val="left"/>
        <w:rPr>
          <w:rFonts w:asciiTheme="minorHAnsi" w:hAnsiTheme="minorHAnsi" w:cstheme="minorHAnsi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D46B1C">
        <w:rPr>
          <w:rStyle w:val="FootnoteTextChar"/>
          <w:szCs w:val="20"/>
        </w:rPr>
        <w:t>ADM, Commercial Facilities Contract Group - 2006-2008 Direct Impact Evaluation, February 2010.</w:t>
      </w:r>
    </w:p>
  </w:footnote>
  <w:footnote w:id="7">
    <w:p w:rsidR="00E13281" w:rsidRPr="00422F6C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tab/>
      </w:r>
      <w:r w:rsidRPr="003C39BE">
        <w:t>Ibid</w:t>
      </w:r>
    </w:p>
  </w:footnote>
  <w:footnote w:id="8">
    <w:p w:rsidR="00E13281" w:rsidRPr="00A01B5A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3C39BE">
        <w:t>2004-2005 Evaluation, Measurement and Verification Report California Multi Measure Farm Program 1354-04 and 1360-04, kW Engineering, March 2007 (CALMAC Study ID: ENS0002.01)</w:t>
      </w:r>
    </w:p>
  </w:footnote>
  <w:footnote w:id="9">
    <w:p w:rsidR="00E13281" w:rsidRPr="00422F6C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422F6C">
        <w:t>2006-2008 Evaluation Report: PG&amp;E Agricultural and Food Processing Program; greenhouse Heat Curtain and Infrared Film Measures, KEMA Inc. Feb. 2010 (CALMAC Study ID: CPU0024.01)</w:t>
      </w:r>
    </w:p>
  </w:footnote>
  <w:footnote w:id="10">
    <w:p w:rsidR="00E13281" w:rsidRPr="00422F6C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422F6C">
        <w:t>2006-2008 Evaluation Report: PG&amp;E Agricultural and Food Processing Program; Greenhouse Heat Curtain and Infrared Film Measures, KEMA Inc., February 2010 (CALMAC Study ID: CPU0024.01)</w:t>
      </w:r>
    </w:p>
  </w:footnote>
  <w:footnote w:id="11">
    <w:p w:rsidR="00E13281" w:rsidRPr="00516A7E" w:rsidRDefault="00E13281" w:rsidP="00FC0A1D">
      <w:pPr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 w:hanging="270"/>
        <w:rPr>
          <w:sz w:val="16"/>
          <w:szCs w:val="16"/>
        </w:rPr>
      </w:pPr>
      <w:r w:rsidRPr="00D46B1C">
        <w:rPr>
          <w:rStyle w:val="FootnoteReference"/>
        </w:rPr>
        <w:footnoteRef/>
      </w:r>
      <w:r w:rsidRPr="00D46B1C">
        <w:rPr>
          <w:rFonts w:eastAsiaTheme="minorHAnsi"/>
          <w:sz w:val="16"/>
          <w:szCs w:val="16"/>
        </w:rPr>
        <w:tab/>
      </w:r>
      <w:r w:rsidRPr="00D46B1C">
        <w:rPr>
          <w:rStyle w:val="FootnoteReference"/>
          <w:rFonts w:eastAsiaTheme="minorHAnsi"/>
        </w:rPr>
        <w:t>Itron Inc, 2004/2005 Statewide Residential Retrofit Single-Family Energy Efficiency Rebate Evaluation; CPUC-ID#:1115-04, September 2007.</w:t>
      </w:r>
    </w:p>
  </w:footnote>
  <w:footnote w:id="12">
    <w:p w:rsidR="00E13281" w:rsidRPr="00516A7E" w:rsidRDefault="00E13281" w:rsidP="00FC0A1D">
      <w:pPr>
        <w:autoSpaceDE w:val="0"/>
        <w:autoSpaceDN w:val="0"/>
        <w:adjustRightInd w:val="0"/>
        <w:spacing w:after="0" w:line="240" w:lineRule="auto"/>
        <w:ind w:left="180" w:hanging="180"/>
        <w:rPr>
          <w:sz w:val="16"/>
          <w:szCs w:val="16"/>
        </w:rPr>
      </w:pPr>
      <w:r w:rsidRPr="00D46B1C">
        <w:rPr>
          <w:rStyle w:val="FootnoteReference"/>
        </w:rPr>
        <w:footnoteRef/>
      </w:r>
      <w:r w:rsidRPr="00D46B1C">
        <w:rPr>
          <w:rFonts w:eastAsiaTheme="minorHAnsi"/>
          <w:sz w:val="16"/>
          <w:szCs w:val="16"/>
        </w:rPr>
        <w:tab/>
        <w:t xml:space="preserve">  </w:t>
      </w:r>
      <w:r w:rsidRPr="00D46B1C">
        <w:rPr>
          <w:rStyle w:val="FootnoteTextChar"/>
          <w:rFonts w:eastAsiaTheme="minorHAnsi"/>
          <w:szCs w:val="16"/>
        </w:rPr>
        <w:t>Itron Inc, 2004/2005 Statewide Residential Retrofit Single-Family Energy Efficiency Rebate Evaluation; CPUC-ID#:1115-04, September 2007.</w:t>
      </w:r>
    </w:p>
  </w:footnote>
  <w:footnote w:id="13">
    <w:p w:rsidR="00E13281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  Evaluation Study of the 2004-2005 Statewide Residential Appliance Recycling Program, ADM, April, 2008</w:t>
      </w:r>
    </w:p>
  </w:footnote>
  <w:footnote w:id="14">
    <w:p w:rsidR="00E13281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  </w:t>
      </w:r>
      <w:r w:rsidRPr="00E64F62">
        <w:t>2004/2005 Statewide Express Efficiency and Upstream HVAC Program Impact Evaluation</w:t>
      </w:r>
      <w:r>
        <w:t>, Itron, Inc., December 2008.</w:t>
      </w:r>
    </w:p>
  </w:footnote>
  <w:footnote w:id="15">
    <w:p w:rsidR="00E13281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  </w:t>
      </w:r>
      <w:r w:rsidRPr="005E2DD3">
        <w:t>Commercial Facilities Contract Group 2006-2008 Direct Impact Evaluation Study, Volumes 1 and 3, ADM</w:t>
      </w:r>
      <w:r>
        <w:t xml:space="preserve"> and Associates,</w:t>
      </w:r>
      <w:r w:rsidRPr="00CF3EC9">
        <w:t xml:space="preserve"> </w:t>
      </w:r>
      <w:r w:rsidRPr="005E2DD3">
        <w:t>February 2010</w:t>
      </w:r>
      <w:r>
        <w:t>.</w:t>
      </w:r>
    </w:p>
  </w:footnote>
  <w:footnote w:id="16">
    <w:p w:rsidR="00E13281" w:rsidRDefault="00E13281" w:rsidP="008648EA">
      <w:pPr>
        <w:pStyle w:val="FootnoteText"/>
      </w:pPr>
      <w:r>
        <w:rPr>
          <w:rStyle w:val="FootnoteReference"/>
        </w:rPr>
        <w:footnoteRef/>
      </w:r>
      <w:r>
        <w:t xml:space="preserve">   Refer to the analysis paper for the reasoning and criteria used to develop the default NTGR values.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Pr="00E2043C" w:rsidRDefault="00E13281" w:rsidP="00E2043C">
    <w:pPr>
      <w:pStyle w:val="Header"/>
      <w:rPr>
        <w:b/>
        <w:i w:val="0"/>
        <w:sz w:val="32"/>
      </w:rPr>
    </w:pPr>
    <w:r w:rsidRPr="00A33456">
      <w:rPr>
        <w:b/>
        <w:i w:val="0"/>
        <w:sz w:val="32"/>
      </w:rPr>
      <w:t xml:space="preserve">Master Table of DEER 2011 NTGR Update </w:t>
    </w:r>
    <w:r>
      <w:rPr>
        <w:b/>
        <w:i w:val="0"/>
        <w:sz w:val="32"/>
      </w:rPr>
      <w:t>Recommendations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Pr="00D90BE0" w:rsidRDefault="00E13281" w:rsidP="00D90BE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Pr="00D90BE0" w:rsidRDefault="00E13281" w:rsidP="00D90BE0">
    <w:pPr>
      <w:pStyle w:val="Header"/>
    </w:pPr>
    <w:r w:rsidRPr="00471182">
      <w:t>Database for Energy Efficiency Resources: 2011 Update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281" w:rsidRPr="00D90BE0" w:rsidRDefault="00E13281" w:rsidP="00D90BE0">
    <w:pPr>
      <w:pStyle w:val="Header"/>
    </w:pPr>
    <w:r w:rsidRPr="00471182">
      <w:t>Database for Energy Efficiency Resources: 2011 Update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0747692"/>
    <w:lvl w:ilvl="0">
      <w:start w:val="1"/>
      <w:numFmt w:val="bullet"/>
      <w:pStyle w:val="ListBullet2"/>
      <w:lvlText w:val="─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</w:abstractNum>
  <w:abstractNum w:abstractNumId="1">
    <w:nsid w:val="FFFFFFFB"/>
    <w:multiLevelType w:val="multilevel"/>
    <w:tmpl w:val="9D903C6E"/>
    <w:lvl w:ilvl="0">
      <w:start w:val="6"/>
      <w:numFmt w:val="decimal"/>
      <w:pStyle w:val="Heading1"/>
      <w:suff w:val="nothing"/>
      <w:lvlText w:val="%1"/>
      <w:lvlJc w:val="left"/>
      <w:pPr>
        <w:ind w:left="0" w:firstLine="0"/>
      </w:pPr>
      <w:rPr>
        <w:rFonts w:ascii="Arial" w:hAnsi="Arial" w:hint="default"/>
        <w:b/>
        <w:i/>
        <w:sz w:val="72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80A0EEF"/>
    <w:multiLevelType w:val="multilevel"/>
    <w:tmpl w:val="C8782C1C"/>
    <w:lvl w:ilvl="0">
      <w:start w:val="1"/>
      <w:numFmt w:val="upperLetter"/>
      <w:suff w:val="nothing"/>
      <w:lvlText w:val="Appendix %1"/>
      <w:lvlJc w:val="left"/>
      <w:pPr>
        <w:ind w:left="0" w:firstLine="0"/>
      </w:pPr>
      <w:rPr>
        <w:rFonts w:ascii="Arial" w:hAnsi="Arial" w:hint="default"/>
        <w:b/>
        <w:i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A5707EA"/>
    <w:multiLevelType w:val="multilevel"/>
    <w:tmpl w:val="67F0C0C4"/>
    <w:styleLink w:val="CnAListBullets"/>
    <w:lvl w:ilvl="0">
      <w:start w:val="1"/>
      <w:numFmt w:val="bullet"/>
      <w:lvlText w:val=""/>
      <w:lvlJc w:val="left"/>
      <w:pPr>
        <w:ind w:left="720" w:hanging="432"/>
      </w:pPr>
      <w:rPr>
        <w:rFonts w:ascii="Wingdings" w:hAnsi="Wingdings" w:hint="default"/>
        <w:sz w:val="16"/>
      </w:rPr>
    </w:lvl>
    <w:lvl w:ilvl="1">
      <w:start w:val="1"/>
      <w:numFmt w:val="bullet"/>
      <w:lvlText w:val="─"/>
      <w:lvlJc w:val="left"/>
      <w:pPr>
        <w:ind w:left="1152" w:hanging="432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1584" w:hanging="432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2016" w:hanging="432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448" w:hanging="43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43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312" w:hanging="432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744" w:hanging="43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4176" w:hanging="432"/>
      </w:pPr>
      <w:rPr>
        <w:rFonts w:ascii="Symbol" w:hAnsi="Symbol" w:hint="default"/>
      </w:rPr>
    </w:lvl>
  </w:abstractNum>
  <w:abstractNum w:abstractNumId="4">
    <w:nsid w:val="3932634E"/>
    <w:multiLevelType w:val="hybridMultilevel"/>
    <w:tmpl w:val="0EC61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C5BCA"/>
    <w:multiLevelType w:val="hybridMultilevel"/>
    <w:tmpl w:val="EFB6B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577D3C"/>
    <w:multiLevelType w:val="hybridMultilevel"/>
    <w:tmpl w:val="17464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90228"/>
    <w:multiLevelType w:val="hybridMultilevel"/>
    <w:tmpl w:val="3FF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42B54"/>
    <w:multiLevelType w:val="hybridMultilevel"/>
    <w:tmpl w:val="EA0A2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BC0982"/>
    <w:multiLevelType w:val="multilevel"/>
    <w:tmpl w:val="04090021"/>
    <w:styleLink w:val="Itron"/>
    <w:lvl w:ilvl="0">
      <w:start w:val="1"/>
      <w:numFmt w:val="bullet"/>
      <w:lvlText w:val=""/>
      <w:lvlJc w:val="left"/>
      <w:pPr>
        <w:ind w:left="1080" w:hanging="360"/>
      </w:pPr>
      <w:rPr>
        <w:rFonts w:ascii="Wingdings" w:hAnsi="Wingdings"/>
      </w:rPr>
    </w:lvl>
    <w:lvl w:ilvl="1">
      <w:start w:val="1"/>
      <w:numFmt w:val="bullet"/>
      <w:lvlText w:val="─"/>
      <w:lvlJc w:val="left"/>
      <w:pPr>
        <w:ind w:left="180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840" w:hanging="360"/>
      </w:pPr>
      <w:rPr>
        <w:rFonts w:ascii="Symbol" w:hAnsi="Symbol" w:hint="default"/>
      </w:rPr>
    </w:lvl>
  </w:abstractNum>
  <w:abstractNum w:abstractNumId="10">
    <w:nsid w:val="7BB767FA"/>
    <w:multiLevelType w:val="hybridMultilevel"/>
    <w:tmpl w:val="0AE2E25C"/>
    <w:lvl w:ilvl="0" w:tplc="9AD673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2"/>
  </w:num>
  <w:num w:numId="6">
    <w:abstractNumId w:val="1"/>
  </w:num>
  <w:num w:numId="7">
    <w:abstractNumId w:val="1"/>
  </w:num>
  <w:num w:numId="8">
    <w:abstractNumId w:val="0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</w:num>
  <w:num w:numId="22">
    <w:abstractNumId w:val="3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0"/>
  </w:num>
  <w:num w:numId="36">
    <w:abstractNumId w:val="3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5"/>
  </w:num>
  <w:num w:numId="44">
    <w:abstractNumId w:val="6"/>
  </w:num>
  <w:num w:numId="45">
    <w:abstractNumId w:val="7"/>
  </w:num>
  <w:num w:numId="46">
    <w:abstractNumId w:val="4"/>
  </w:num>
  <w:num w:numId="47">
    <w:abstractNumId w:val="10"/>
  </w:num>
  <w:num w:numId="48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intFractionalCharacterWidth/>
  <w:embedSystemFonts/>
  <w:proofState w:spelling="clean" w:grammar="clean"/>
  <w:stylePaneFormatFilter w:val="3F01"/>
  <w:stylePaneSortMethod w:val="0004"/>
  <w:defaultTabStop w:val="720"/>
  <w:doNotHyphenateCaps/>
  <w:drawingGridHorizontalSpacing w:val="120"/>
  <w:drawingGridVerticalSpacing w:val="163"/>
  <w:displayHorizontalDrawingGridEvery w:val="0"/>
  <w:displayVerticalDrawingGridEvery w:val="2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B253DF"/>
    <w:rsid w:val="00000947"/>
    <w:rsid w:val="00010F38"/>
    <w:rsid w:val="00016DF9"/>
    <w:rsid w:val="00017AFE"/>
    <w:rsid w:val="00017D18"/>
    <w:rsid w:val="00022F17"/>
    <w:rsid w:val="00026357"/>
    <w:rsid w:val="00026BEC"/>
    <w:rsid w:val="00030986"/>
    <w:rsid w:val="00034A30"/>
    <w:rsid w:val="000419C3"/>
    <w:rsid w:val="00043970"/>
    <w:rsid w:val="0005123D"/>
    <w:rsid w:val="00054237"/>
    <w:rsid w:val="00061151"/>
    <w:rsid w:val="000612B3"/>
    <w:rsid w:val="0007312F"/>
    <w:rsid w:val="00075645"/>
    <w:rsid w:val="00077287"/>
    <w:rsid w:val="00077F88"/>
    <w:rsid w:val="0008436F"/>
    <w:rsid w:val="0009375D"/>
    <w:rsid w:val="00096103"/>
    <w:rsid w:val="00096984"/>
    <w:rsid w:val="00096A50"/>
    <w:rsid w:val="00097FE2"/>
    <w:rsid w:val="000A74B7"/>
    <w:rsid w:val="000A7E86"/>
    <w:rsid w:val="000B0BC8"/>
    <w:rsid w:val="000B1D6F"/>
    <w:rsid w:val="000B2BEB"/>
    <w:rsid w:val="000B731D"/>
    <w:rsid w:val="000B7CA9"/>
    <w:rsid w:val="000C21E8"/>
    <w:rsid w:val="000C4FF7"/>
    <w:rsid w:val="000C6631"/>
    <w:rsid w:val="000D688E"/>
    <w:rsid w:val="000E1780"/>
    <w:rsid w:val="000E2647"/>
    <w:rsid w:val="000E2D8D"/>
    <w:rsid w:val="000E31C7"/>
    <w:rsid w:val="000E500D"/>
    <w:rsid w:val="000E539F"/>
    <w:rsid w:val="000E53A5"/>
    <w:rsid w:val="000E5D8E"/>
    <w:rsid w:val="000E649C"/>
    <w:rsid w:val="000E6E55"/>
    <w:rsid w:val="000E6FD6"/>
    <w:rsid w:val="000F2110"/>
    <w:rsid w:val="000F67E7"/>
    <w:rsid w:val="000F74BB"/>
    <w:rsid w:val="0011319A"/>
    <w:rsid w:val="00114E43"/>
    <w:rsid w:val="00117449"/>
    <w:rsid w:val="00121653"/>
    <w:rsid w:val="001268D5"/>
    <w:rsid w:val="00126A9D"/>
    <w:rsid w:val="00126F63"/>
    <w:rsid w:val="001308F7"/>
    <w:rsid w:val="00130A58"/>
    <w:rsid w:val="00133426"/>
    <w:rsid w:val="0013610B"/>
    <w:rsid w:val="00140974"/>
    <w:rsid w:val="00143D3E"/>
    <w:rsid w:val="001461ED"/>
    <w:rsid w:val="00146F57"/>
    <w:rsid w:val="00150886"/>
    <w:rsid w:val="00157EA9"/>
    <w:rsid w:val="0016491C"/>
    <w:rsid w:val="0016567C"/>
    <w:rsid w:val="00166A00"/>
    <w:rsid w:val="001700C4"/>
    <w:rsid w:val="001712B1"/>
    <w:rsid w:val="00191491"/>
    <w:rsid w:val="0019604D"/>
    <w:rsid w:val="00197A2E"/>
    <w:rsid w:val="001A2A1B"/>
    <w:rsid w:val="001B177F"/>
    <w:rsid w:val="001B54F7"/>
    <w:rsid w:val="001B69CA"/>
    <w:rsid w:val="001B76A6"/>
    <w:rsid w:val="001C005E"/>
    <w:rsid w:val="001C38AF"/>
    <w:rsid w:val="001C5D93"/>
    <w:rsid w:val="001D0AF7"/>
    <w:rsid w:val="001D31E5"/>
    <w:rsid w:val="001D4D71"/>
    <w:rsid w:val="001E0716"/>
    <w:rsid w:val="001E32AE"/>
    <w:rsid w:val="001E522F"/>
    <w:rsid w:val="001E7B0F"/>
    <w:rsid w:val="001E7BE2"/>
    <w:rsid w:val="001F5D99"/>
    <w:rsid w:val="00205160"/>
    <w:rsid w:val="00213A89"/>
    <w:rsid w:val="00223635"/>
    <w:rsid w:val="00226D32"/>
    <w:rsid w:val="00230BF7"/>
    <w:rsid w:val="00231EB1"/>
    <w:rsid w:val="00235555"/>
    <w:rsid w:val="00242170"/>
    <w:rsid w:val="00246847"/>
    <w:rsid w:val="00247593"/>
    <w:rsid w:val="00253217"/>
    <w:rsid w:val="00260180"/>
    <w:rsid w:val="00264FE4"/>
    <w:rsid w:val="00265820"/>
    <w:rsid w:val="002663FA"/>
    <w:rsid w:val="00274C09"/>
    <w:rsid w:val="00275496"/>
    <w:rsid w:val="00275841"/>
    <w:rsid w:val="00277449"/>
    <w:rsid w:val="00280F6B"/>
    <w:rsid w:val="00290316"/>
    <w:rsid w:val="00291D3D"/>
    <w:rsid w:val="00291F7B"/>
    <w:rsid w:val="002922B9"/>
    <w:rsid w:val="00292F27"/>
    <w:rsid w:val="002973F5"/>
    <w:rsid w:val="002B4168"/>
    <w:rsid w:val="002B4E4C"/>
    <w:rsid w:val="002B7BCD"/>
    <w:rsid w:val="002C1460"/>
    <w:rsid w:val="002C298B"/>
    <w:rsid w:val="002C3B95"/>
    <w:rsid w:val="002C77AA"/>
    <w:rsid w:val="002C7AFB"/>
    <w:rsid w:val="002D0AC7"/>
    <w:rsid w:val="002D4FB8"/>
    <w:rsid w:val="002D6035"/>
    <w:rsid w:val="002D6633"/>
    <w:rsid w:val="002D6993"/>
    <w:rsid w:val="002F09AB"/>
    <w:rsid w:val="00300B32"/>
    <w:rsid w:val="00301ECA"/>
    <w:rsid w:val="0030374C"/>
    <w:rsid w:val="00305900"/>
    <w:rsid w:val="003064D7"/>
    <w:rsid w:val="0031087B"/>
    <w:rsid w:val="00311623"/>
    <w:rsid w:val="003116EA"/>
    <w:rsid w:val="0031286E"/>
    <w:rsid w:val="00315C37"/>
    <w:rsid w:val="00316F53"/>
    <w:rsid w:val="00317ED5"/>
    <w:rsid w:val="00320836"/>
    <w:rsid w:val="00323EA6"/>
    <w:rsid w:val="003240BC"/>
    <w:rsid w:val="003255E0"/>
    <w:rsid w:val="00327B72"/>
    <w:rsid w:val="003338C3"/>
    <w:rsid w:val="00334D41"/>
    <w:rsid w:val="00346291"/>
    <w:rsid w:val="003518EC"/>
    <w:rsid w:val="00355DD4"/>
    <w:rsid w:val="003563C3"/>
    <w:rsid w:val="00362063"/>
    <w:rsid w:val="003649C0"/>
    <w:rsid w:val="00370E01"/>
    <w:rsid w:val="00372A4B"/>
    <w:rsid w:val="0037311C"/>
    <w:rsid w:val="0037484E"/>
    <w:rsid w:val="0038646E"/>
    <w:rsid w:val="00394A99"/>
    <w:rsid w:val="0039591C"/>
    <w:rsid w:val="003A3041"/>
    <w:rsid w:val="003B15C1"/>
    <w:rsid w:val="003B192D"/>
    <w:rsid w:val="003B2EC3"/>
    <w:rsid w:val="003B4130"/>
    <w:rsid w:val="003B7CBB"/>
    <w:rsid w:val="003C39BE"/>
    <w:rsid w:val="003C5470"/>
    <w:rsid w:val="003D1407"/>
    <w:rsid w:val="003D3FF2"/>
    <w:rsid w:val="003E0D8F"/>
    <w:rsid w:val="003E1694"/>
    <w:rsid w:val="003E175A"/>
    <w:rsid w:val="003E6290"/>
    <w:rsid w:val="003E6375"/>
    <w:rsid w:val="003F03D7"/>
    <w:rsid w:val="003F1B3D"/>
    <w:rsid w:val="003F505C"/>
    <w:rsid w:val="003F678D"/>
    <w:rsid w:val="00400DF8"/>
    <w:rsid w:val="00404B60"/>
    <w:rsid w:val="004070F0"/>
    <w:rsid w:val="00407B8F"/>
    <w:rsid w:val="004125FB"/>
    <w:rsid w:val="00415415"/>
    <w:rsid w:val="00415D90"/>
    <w:rsid w:val="00415F0C"/>
    <w:rsid w:val="00416B28"/>
    <w:rsid w:val="00417131"/>
    <w:rsid w:val="00417B4B"/>
    <w:rsid w:val="004211B7"/>
    <w:rsid w:val="00422F6C"/>
    <w:rsid w:val="00423113"/>
    <w:rsid w:val="00427454"/>
    <w:rsid w:val="0043551E"/>
    <w:rsid w:val="00437726"/>
    <w:rsid w:val="0043797F"/>
    <w:rsid w:val="004409B2"/>
    <w:rsid w:val="00440A32"/>
    <w:rsid w:val="00441988"/>
    <w:rsid w:val="004426A9"/>
    <w:rsid w:val="00455856"/>
    <w:rsid w:val="0046120C"/>
    <w:rsid w:val="00467A6A"/>
    <w:rsid w:val="0047130C"/>
    <w:rsid w:val="00476DB0"/>
    <w:rsid w:val="004812E2"/>
    <w:rsid w:val="004819BB"/>
    <w:rsid w:val="00482EAC"/>
    <w:rsid w:val="00483A87"/>
    <w:rsid w:val="00483B3D"/>
    <w:rsid w:val="00485477"/>
    <w:rsid w:val="00492F42"/>
    <w:rsid w:val="004A0108"/>
    <w:rsid w:val="004B0FCC"/>
    <w:rsid w:val="004B3025"/>
    <w:rsid w:val="004B3E4B"/>
    <w:rsid w:val="004B46F8"/>
    <w:rsid w:val="004C30D2"/>
    <w:rsid w:val="004C4005"/>
    <w:rsid w:val="004C7495"/>
    <w:rsid w:val="004D4D42"/>
    <w:rsid w:val="004E0AD6"/>
    <w:rsid w:val="004E225E"/>
    <w:rsid w:val="004F0011"/>
    <w:rsid w:val="004F0DD9"/>
    <w:rsid w:val="004F36BB"/>
    <w:rsid w:val="004F78A6"/>
    <w:rsid w:val="0050194C"/>
    <w:rsid w:val="00503033"/>
    <w:rsid w:val="005132AE"/>
    <w:rsid w:val="00513F48"/>
    <w:rsid w:val="00516405"/>
    <w:rsid w:val="005168BB"/>
    <w:rsid w:val="00520DCD"/>
    <w:rsid w:val="0052193F"/>
    <w:rsid w:val="00521A5F"/>
    <w:rsid w:val="00521A9C"/>
    <w:rsid w:val="005276D5"/>
    <w:rsid w:val="005528D8"/>
    <w:rsid w:val="005529D5"/>
    <w:rsid w:val="00552C8F"/>
    <w:rsid w:val="005557EF"/>
    <w:rsid w:val="0055720C"/>
    <w:rsid w:val="0055783D"/>
    <w:rsid w:val="00557A79"/>
    <w:rsid w:val="00565425"/>
    <w:rsid w:val="0056560B"/>
    <w:rsid w:val="005658B0"/>
    <w:rsid w:val="00565D8A"/>
    <w:rsid w:val="00573DEC"/>
    <w:rsid w:val="005767C1"/>
    <w:rsid w:val="00577241"/>
    <w:rsid w:val="00580BAD"/>
    <w:rsid w:val="0058281D"/>
    <w:rsid w:val="005921C1"/>
    <w:rsid w:val="00592B6B"/>
    <w:rsid w:val="0059308D"/>
    <w:rsid w:val="005939CC"/>
    <w:rsid w:val="005A4352"/>
    <w:rsid w:val="005A457F"/>
    <w:rsid w:val="005B3ACC"/>
    <w:rsid w:val="005B4EEC"/>
    <w:rsid w:val="005C0D2F"/>
    <w:rsid w:val="005C4598"/>
    <w:rsid w:val="005D18E2"/>
    <w:rsid w:val="005D5666"/>
    <w:rsid w:val="005D596C"/>
    <w:rsid w:val="005D7D63"/>
    <w:rsid w:val="005E4BE9"/>
    <w:rsid w:val="005F3293"/>
    <w:rsid w:val="005F5933"/>
    <w:rsid w:val="00601A2D"/>
    <w:rsid w:val="00602E28"/>
    <w:rsid w:val="00603E1C"/>
    <w:rsid w:val="00603EEC"/>
    <w:rsid w:val="00607587"/>
    <w:rsid w:val="006148F7"/>
    <w:rsid w:val="00614BA7"/>
    <w:rsid w:val="00616F51"/>
    <w:rsid w:val="00620143"/>
    <w:rsid w:val="00620456"/>
    <w:rsid w:val="006232E8"/>
    <w:rsid w:val="00625B39"/>
    <w:rsid w:val="00625E61"/>
    <w:rsid w:val="0063509F"/>
    <w:rsid w:val="00644C03"/>
    <w:rsid w:val="00647173"/>
    <w:rsid w:val="00654248"/>
    <w:rsid w:val="00655C13"/>
    <w:rsid w:val="00656524"/>
    <w:rsid w:val="00657787"/>
    <w:rsid w:val="00661DC9"/>
    <w:rsid w:val="00664CF0"/>
    <w:rsid w:val="006714F0"/>
    <w:rsid w:val="00682A57"/>
    <w:rsid w:val="0069040F"/>
    <w:rsid w:val="00697026"/>
    <w:rsid w:val="006979A5"/>
    <w:rsid w:val="006A1B95"/>
    <w:rsid w:val="006A3AD5"/>
    <w:rsid w:val="006B143C"/>
    <w:rsid w:val="006B5978"/>
    <w:rsid w:val="006B7229"/>
    <w:rsid w:val="006C0097"/>
    <w:rsid w:val="006C080F"/>
    <w:rsid w:val="006C0E5E"/>
    <w:rsid w:val="006C1F61"/>
    <w:rsid w:val="006C7E47"/>
    <w:rsid w:val="006E0B1E"/>
    <w:rsid w:val="006F3E85"/>
    <w:rsid w:val="006F4E18"/>
    <w:rsid w:val="00701B1D"/>
    <w:rsid w:val="00701BEA"/>
    <w:rsid w:val="00706638"/>
    <w:rsid w:val="007113FC"/>
    <w:rsid w:val="007141BD"/>
    <w:rsid w:val="0071541C"/>
    <w:rsid w:val="0071570C"/>
    <w:rsid w:val="00715736"/>
    <w:rsid w:val="00716D56"/>
    <w:rsid w:val="00730BD7"/>
    <w:rsid w:val="007316AA"/>
    <w:rsid w:val="00741807"/>
    <w:rsid w:val="00743321"/>
    <w:rsid w:val="007449C6"/>
    <w:rsid w:val="00751BEC"/>
    <w:rsid w:val="00751E46"/>
    <w:rsid w:val="0075386B"/>
    <w:rsid w:val="00754389"/>
    <w:rsid w:val="007543AE"/>
    <w:rsid w:val="00754D3E"/>
    <w:rsid w:val="00763661"/>
    <w:rsid w:val="007724A0"/>
    <w:rsid w:val="007740B6"/>
    <w:rsid w:val="00775E7E"/>
    <w:rsid w:val="00775F6B"/>
    <w:rsid w:val="00777A7C"/>
    <w:rsid w:val="00783EDA"/>
    <w:rsid w:val="00790A7E"/>
    <w:rsid w:val="00791652"/>
    <w:rsid w:val="00795866"/>
    <w:rsid w:val="007A4A36"/>
    <w:rsid w:val="007B0DCA"/>
    <w:rsid w:val="007B11CD"/>
    <w:rsid w:val="007B1B87"/>
    <w:rsid w:val="007B1F11"/>
    <w:rsid w:val="007B4132"/>
    <w:rsid w:val="007B5E0F"/>
    <w:rsid w:val="007B693A"/>
    <w:rsid w:val="007C3DE2"/>
    <w:rsid w:val="007C60B0"/>
    <w:rsid w:val="007C6F54"/>
    <w:rsid w:val="007D5D84"/>
    <w:rsid w:val="007D7C63"/>
    <w:rsid w:val="007E6B96"/>
    <w:rsid w:val="007E7AB3"/>
    <w:rsid w:val="007E7B56"/>
    <w:rsid w:val="007F1AFB"/>
    <w:rsid w:val="007F293B"/>
    <w:rsid w:val="007F62BF"/>
    <w:rsid w:val="00803961"/>
    <w:rsid w:val="0081057C"/>
    <w:rsid w:val="008111FE"/>
    <w:rsid w:val="00811304"/>
    <w:rsid w:val="00817DEE"/>
    <w:rsid w:val="00824679"/>
    <w:rsid w:val="008252D5"/>
    <w:rsid w:val="00826B36"/>
    <w:rsid w:val="00826D05"/>
    <w:rsid w:val="0083001B"/>
    <w:rsid w:val="00835EC2"/>
    <w:rsid w:val="0083682C"/>
    <w:rsid w:val="008472D8"/>
    <w:rsid w:val="00847C95"/>
    <w:rsid w:val="00853351"/>
    <w:rsid w:val="00857BBF"/>
    <w:rsid w:val="00861062"/>
    <w:rsid w:val="0086161F"/>
    <w:rsid w:val="00862E8B"/>
    <w:rsid w:val="008646A2"/>
    <w:rsid w:val="008648EA"/>
    <w:rsid w:val="0086676C"/>
    <w:rsid w:val="0086742A"/>
    <w:rsid w:val="00870FE1"/>
    <w:rsid w:val="00874650"/>
    <w:rsid w:val="00875025"/>
    <w:rsid w:val="00877628"/>
    <w:rsid w:val="00881049"/>
    <w:rsid w:val="00883206"/>
    <w:rsid w:val="00885374"/>
    <w:rsid w:val="008871C1"/>
    <w:rsid w:val="008873D0"/>
    <w:rsid w:val="00890D60"/>
    <w:rsid w:val="0089278A"/>
    <w:rsid w:val="00892E1F"/>
    <w:rsid w:val="0089429D"/>
    <w:rsid w:val="008A271C"/>
    <w:rsid w:val="008A3B14"/>
    <w:rsid w:val="008B73B4"/>
    <w:rsid w:val="008C3BA6"/>
    <w:rsid w:val="008C3DA3"/>
    <w:rsid w:val="008C607B"/>
    <w:rsid w:val="008D0B3A"/>
    <w:rsid w:val="008D42DC"/>
    <w:rsid w:val="008D7727"/>
    <w:rsid w:val="008D7823"/>
    <w:rsid w:val="008E2E63"/>
    <w:rsid w:val="008E45F8"/>
    <w:rsid w:val="008F2A03"/>
    <w:rsid w:val="008F6F18"/>
    <w:rsid w:val="0090154A"/>
    <w:rsid w:val="00904A0A"/>
    <w:rsid w:val="0091065E"/>
    <w:rsid w:val="00911CCB"/>
    <w:rsid w:val="0092492B"/>
    <w:rsid w:val="00926854"/>
    <w:rsid w:val="00941A1C"/>
    <w:rsid w:val="00942E75"/>
    <w:rsid w:val="00952B7A"/>
    <w:rsid w:val="009558AE"/>
    <w:rsid w:val="00957889"/>
    <w:rsid w:val="00964846"/>
    <w:rsid w:val="00967365"/>
    <w:rsid w:val="009701D1"/>
    <w:rsid w:val="00976AE1"/>
    <w:rsid w:val="00981EB7"/>
    <w:rsid w:val="00982650"/>
    <w:rsid w:val="0098365D"/>
    <w:rsid w:val="0098390D"/>
    <w:rsid w:val="00990149"/>
    <w:rsid w:val="00990727"/>
    <w:rsid w:val="00990F68"/>
    <w:rsid w:val="00995D48"/>
    <w:rsid w:val="009A0BD3"/>
    <w:rsid w:val="009A1FE2"/>
    <w:rsid w:val="009A2C36"/>
    <w:rsid w:val="009A47EA"/>
    <w:rsid w:val="009B0835"/>
    <w:rsid w:val="009B0D60"/>
    <w:rsid w:val="009B6472"/>
    <w:rsid w:val="009C3564"/>
    <w:rsid w:val="009C5BA6"/>
    <w:rsid w:val="009D0319"/>
    <w:rsid w:val="009D03E0"/>
    <w:rsid w:val="009D2091"/>
    <w:rsid w:val="009D290C"/>
    <w:rsid w:val="009D71B3"/>
    <w:rsid w:val="009E62D3"/>
    <w:rsid w:val="009E7446"/>
    <w:rsid w:val="009F5DF3"/>
    <w:rsid w:val="00A01B5A"/>
    <w:rsid w:val="00A01D8F"/>
    <w:rsid w:val="00A02DBA"/>
    <w:rsid w:val="00A05E28"/>
    <w:rsid w:val="00A10679"/>
    <w:rsid w:val="00A12B0C"/>
    <w:rsid w:val="00A12C80"/>
    <w:rsid w:val="00A13A3F"/>
    <w:rsid w:val="00A2227B"/>
    <w:rsid w:val="00A240A6"/>
    <w:rsid w:val="00A31B8F"/>
    <w:rsid w:val="00A31F9F"/>
    <w:rsid w:val="00A3229E"/>
    <w:rsid w:val="00A32AF0"/>
    <w:rsid w:val="00A33456"/>
    <w:rsid w:val="00A349E4"/>
    <w:rsid w:val="00A34F24"/>
    <w:rsid w:val="00A42A29"/>
    <w:rsid w:val="00A45B7C"/>
    <w:rsid w:val="00A47C1C"/>
    <w:rsid w:val="00A50622"/>
    <w:rsid w:val="00A519E7"/>
    <w:rsid w:val="00A51A96"/>
    <w:rsid w:val="00A7020E"/>
    <w:rsid w:val="00A715DD"/>
    <w:rsid w:val="00A80605"/>
    <w:rsid w:val="00A81F92"/>
    <w:rsid w:val="00A820AB"/>
    <w:rsid w:val="00A841F4"/>
    <w:rsid w:val="00A84247"/>
    <w:rsid w:val="00A86714"/>
    <w:rsid w:val="00AA495D"/>
    <w:rsid w:val="00AA75FC"/>
    <w:rsid w:val="00AA7E13"/>
    <w:rsid w:val="00AB2183"/>
    <w:rsid w:val="00AB3544"/>
    <w:rsid w:val="00AB4A96"/>
    <w:rsid w:val="00AC26B2"/>
    <w:rsid w:val="00AD0738"/>
    <w:rsid w:val="00AE24ED"/>
    <w:rsid w:val="00AE37CB"/>
    <w:rsid w:val="00AE5326"/>
    <w:rsid w:val="00AF4215"/>
    <w:rsid w:val="00AF77F2"/>
    <w:rsid w:val="00B00DEE"/>
    <w:rsid w:val="00B02284"/>
    <w:rsid w:val="00B0451F"/>
    <w:rsid w:val="00B05AA0"/>
    <w:rsid w:val="00B05AD1"/>
    <w:rsid w:val="00B12F9C"/>
    <w:rsid w:val="00B143F4"/>
    <w:rsid w:val="00B172B5"/>
    <w:rsid w:val="00B21A11"/>
    <w:rsid w:val="00B22079"/>
    <w:rsid w:val="00B2252F"/>
    <w:rsid w:val="00B2276F"/>
    <w:rsid w:val="00B253DF"/>
    <w:rsid w:val="00B26139"/>
    <w:rsid w:val="00B30FAF"/>
    <w:rsid w:val="00B31FF8"/>
    <w:rsid w:val="00B332C5"/>
    <w:rsid w:val="00B35D0F"/>
    <w:rsid w:val="00B35DD3"/>
    <w:rsid w:val="00B41371"/>
    <w:rsid w:val="00B4594A"/>
    <w:rsid w:val="00B47148"/>
    <w:rsid w:val="00B563CD"/>
    <w:rsid w:val="00B634A5"/>
    <w:rsid w:val="00B65A85"/>
    <w:rsid w:val="00B66B8D"/>
    <w:rsid w:val="00B67586"/>
    <w:rsid w:val="00B67734"/>
    <w:rsid w:val="00B75F06"/>
    <w:rsid w:val="00B821A0"/>
    <w:rsid w:val="00B8239F"/>
    <w:rsid w:val="00B8415E"/>
    <w:rsid w:val="00B93D94"/>
    <w:rsid w:val="00BA106C"/>
    <w:rsid w:val="00BA2435"/>
    <w:rsid w:val="00BA5D6D"/>
    <w:rsid w:val="00BA6310"/>
    <w:rsid w:val="00BB0E39"/>
    <w:rsid w:val="00BB3450"/>
    <w:rsid w:val="00BB5E7F"/>
    <w:rsid w:val="00BB7068"/>
    <w:rsid w:val="00BB72A1"/>
    <w:rsid w:val="00BB78DE"/>
    <w:rsid w:val="00BC2EBB"/>
    <w:rsid w:val="00BC6601"/>
    <w:rsid w:val="00BD066D"/>
    <w:rsid w:val="00BD1B45"/>
    <w:rsid w:val="00BE1758"/>
    <w:rsid w:val="00BE1CA7"/>
    <w:rsid w:val="00BE3BAE"/>
    <w:rsid w:val="00BE5E9A"/>
    <w:rsid w:val="00BE68D1"/>
    <w:rsid w:val="00BF10EF"/>
    <w:rsid w:val="00BF23E1"/>
    <w:rsid w:val="00BF3922"/>
    <w:rsid w:val="00BF6708"/>
    <w:rsid w:val="00C030F3"/>
    <w:rsid w:val="00C07173"/>
    <w:rsid w:val="00C16071"/>
    <w:rsid w:val="00C16576"/>
    <w:rsid w:val="00C22F52"/>
    <w:rsid w:val="00C232AA"/>
    <w:rsid w:val="00C23A4B"/>
    <w:rsid w:val="00C30360"/>
    <w:rsid w:val="00C34435"/>
    <w:rsid w:val="00C35727"/>
    <w:rsid w:val="00C35860"/>
    <w:rsid w:val="00C40245"/>
    <w:rsid w:val="00C40D21"/>
    <w:rsid w:val="00C47AFD"/>
    <w:rsid w:val="00C50138"/>
    <w:rsid w:val="00C56E6D"/>
    <w:rsid w:val="00C61625"/>
    <w:rsid w:val="00C75FAC"/>
    <w:rsid w:val="00C8408E"/>
    <w:rsid w:val="00C85B55"/>
    <w:rsid w:val="00C85E22"/>
    <w:rsid w:val="00C87113"/>
    <w:rsid w:val="00C87E1B"/>
    <w:rsid w:val="00C90C1B"/>
    <w:rsid w:val="00C96282"/>
    <w:rsid w:val="00C96789"/>
    <w:rsid w:val="00CA17DC"/>
    <w:rsid w:val="00CA3C82"/>
    <w:rsid w:val="00CA4418"/>
    <w:rsid w:val="00CA4CA6"/>
    <w:rsid w:val="00CA6BCE"/>
    <w:rsid w:val="00CA75C7"/>
    <w:rsid w:val="00CB2FE6"/>
    <w:rsid w:val="00CB4FF6"/>
    <w:rsid w:val="00CC1E01"/>
    <w:rsid w:val="00CD179E"/>
    <w:rsid w:val="00CD2D4F"/>
    <w:rsid w:val="00CD4193"/>
    <w:rsid w:val="00CE032C"/>
    <w:rsid w:val="00CE13B9"/>
    <w:rsid w:val="00CE554A"/>
    <w:rsid w:val="00CF4860"/>
    <w:rsid w:val="00CF49FD"/>
    <w:rsid w:val="00D01309"/>
    <w:rsid w:val="00D068E2"/>
    <w:rsid w:val="00D122AE"/>
    <w:rsid w:val="00D16E99"/>
    <w:rsid w:val="00D21F89"/>
    <w:rsid w:val="00D30990"/>
    <w:rsid w:val="00D327E3"/>
    <w:rsid w:val="00D3682F"/>
    <w:rsid w:val="00D379D0"/>
    <w:rsid w:val="00D434F1"/>
    <w:rsid w:val="00D444F2"/>
    <w:rsid w:val="00D51169"/>
    <w:rsid w:val="00D5135F"/>
    <w:rsid w:val="00D61553"/>
    <w:rsid w:val="00D67B44"/>
    <w:rsid w:val="00D67B57"/>
    <w:rsid w:val="00D67D95"/>
    <w:rsid w:val="00D7096E"/>
    <w:rsid w:val="00D72BF2"/>
    <w:rsid w:val="00D7376E"/>
    <w:rsid w:val="00D74969"/>
    <w:rsid w:val="00D767AA"/>
    <w:rsid w:val="00D833E2"/>
    <w:rsid w:val="00D842FF"/>
    <w:rsid w:val="00D90BE0"/>
    <w:rsid w:val="00D956AE"/>
    <w:rsid w:val="00DA0221"/>
    <w:rsid w:val="00DA04B7"/>
    <w:rsid w:val="00DA0A79"/>
    <w:rsid w:val="00DA5C18"/>
    <w:rsid w:val="00DB0167"/>
    <w:rsid w:val="00DB3C51"/>
    <w:rsid w:val="00DB6B10"/>
    <w:rsid w:val="00DC1564"/>
    <w:rsid w:val="00DC1DD9"/>
    <w:rsid w:val="00DC505C"/>
    <w:rsid w:val="00DE57CF"/>
    <w:rsid w:val="00DE632E"/>
    <w:rsid w:val="00DE667D"/>
    <w:rsid w:val="00DE6FCC"/>
    <w:rsid w:val="00DF325B"/>
    <w:rsid w:val="00E001E3"/>
    <w:rsid w:val="00E01C5C"/>
    <w:rsid w:val="00E020B9"/>
    <w:rsid w:val="00E10443"/>
    <w:rsid w:val="00E12117"/>
    <w:rsid w:val="00E13281"/>
    <w:rsid w:val="00E2043C"/>
    <w:rsid w:val="00E23D3B"/>
    <w:rsid w:val="00E24EFE"/>
    <w:rsid w:val="00E24FBA"/>
    <w:rsid w:val="00E251FF"/>
    <w:rsid w:val="00E25D4E"/>
    <w:rsid w:val="00E37D92"/>
    <w:rsid w:val="00E401FC"/>
    <w:rsid w:val="00E43CF0"/>
    <w:rsid w:val="00E450CF"/>
    <w:rsid w:val="00E47414"/>
    <w:rsid w:val="00E560B6"/>
    <w:rsid w:val="00E6086B"/>
    <w:rsid w:val="00E63F82"/>
    <w:rsid w:val="00E65055"/>
    <w:rsid w:val="00E67904"/>
    <w:rsid w:val="00E82601"/>
    <w:rsid w:val="00E82EC1"/>
    <w:rsid w:val="00E86B02"/>
    <w:rsid w:val="00E86B64"/>
    <w:rsid w:val="00E945DC"/>
    <w:rsid w:val="00EA5FC8"/>
    <w:rsid w:val="00EA6713"/>
    <w:rsid w:val="00EB30BA"/>
    <w:rsid w:val="00EB750F"/>
    <w:rsid w:val="00EC3DAB"/>
    <w:rsid w:val="00EC4520"/>
    <w:rsid w:val="00EC7152"/>
    <w:rsid w:val="00ED1EE5"/>
    <w:rsid w:val="00ED1F77"/>
    <w:rsid w:val="00ED70B2"/>
    <w:rsid w:val="00EE2CB8"/>
    <w:rsid w:val="00EE3A7D"/>
    <w:rsid w:val="00EE45F1"/>
    <w:rsid w:val="00EE50E2"/>
    <w:rsid w:val="00EF7D17"/>
    <w:rsid w:val="00F02D88"/>
    <w:rsid w:val="00F03E8B"/>
    <w:rsid w:val="00F06ACE"/>
    <w:rsid w:val="00F126C3"/>
    <w:rsid w:val="00F13136"/>
    <w:rsid w:val="00F21DB5"/>
    <w:rsid w:val="00F23F44"/>
    <w:rsid w:val="00F257D9"/>
    <w:rsid w:val="00F26AE0"/>
    <w:rsid w:val="00F30170"/>
    <w:rsid w:val="00F30DB1"/>
    <w:rsid w:val="00F33BE6"/>
    <w:rsid w:val="00F35599"/>
    <w:rsid w:val="00F35612"/>
    <w:rsid w:val="00F3759B"/>
    <w:rsid w:val="00F42A2D"/>
    <w:rsid w:val="00F431FE"/>
    <w:rsid w:val="00F442C0"/>
    <w:rsid w:val="00F4768F"/>
    <w:rsid w:val="00F53F2B"/>
    <w:rsid w:val="00F60F5F"/>
    <w:rsid w:val="00F634D6"/>
    <w:rsid w:val="00F65CB3"/>
    <w:rsid w:val="00F67AAF"/>
    <w:rsid w:val="00F70106"/>
    <w:rsid w:val="00F7085B"/>
    <w:rsid w:val="00F75096"/>
    <w:rsid w:val="00F8172A"/>
    <w:rsid w:val="00F82F17"/>
    <w:rsid w:val="00F87407"/>
    <w:rsid w:val="00F87DBB"/>
    <w:rsid w:val="00F9623A"/>
    <w:rsid w:val="00FA33D2"/>
    <w:rsid w:val="00FA455B"/>
    <w:rsid w:val="00FA4FFE"/>
    <w:rsid w:val="00FB3386"/>
    <w:rsid w:val="00FB6473"/>
    <w:rsid w:val="00FC0A1D"/>
    <w:rsid w:val="00FC2471"/>
    <w:rsid w:val="00FC2B4A"/>
    <w:rsid w:val="00FD0704"/>
    <w:rsid w:val="00FE381A"/>
    <w:rsid w:val="00FE585B"/>
    <w:rsid w:val="00FF0706"/>
    <w:rsid w:val="00FF079A"/>
    <w:rsid w:val="00FF2707"/>
    <w:rsid w:val="00FF3F32"/>
    <w:rsid w:val="00FF5474"/>
    <w:rsid w:val="00FF6680"/>
    <w:rsid w:val="00FF7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>
      <w:pPr>
        <w:spacing w:after="130" w:line="320" w:lineRule="atLeast"/>
        <w:ind w:left="720" w:hanging="432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0886"/>
    <w:pPr>
      <w:spacing w:after="280"/>
      <w:ind w:left="0" w:firstLine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E632E"/>
    <w:pPr>
      <w:keepNext/>
      <w:numPr>
        <w:numId w:val="42"/>
      </w:numPr>
      <w:pBdr>
        <w:bottom w:val="single" w:sz="12" w:space="26" w:color="auto"/>
      </w:pBdr>
      <w:spacing w:after="240"/>
      <w:jc w:val="left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DE632E"/>
    <w:pPr>
      <w:keepNext/>
      <w:numPr>
        <w:ilvl w:val="1"/>
        <w:numId w:val="42"/>
      </w:numPr>
      <w:spacing w:before="480" w:after="18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DE632E"/>
    <w:pPr>
      <w:keepNext/>
      <w:numPr>
        <w:ilvl w:val="2"/>
        <w:numId w:val="42"/>
      </w:numPr>
      <w:spacing w:after="180" w:line="240" w:lineRule="auto"/>
      <w:jc w:val="left"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DE632E"/>
    <w:pPr>
      <w:keepNext/>
      <w:keepLines/>
      <w:numPr>
        <w:ilvl w:val="3"/>
        <w:numId w:val="42"/>
      </w:numPr>
      <w:spacing w:after="180"/>
      <w:jc w:val="left"/>
      <w:outlineLvl w:val="3"/>
    </w:pPr>
    <w:rPr>
      <w:b/>
      <w:i/>
      <w:iCs/>
      <w:u w:val="single"/>
    </w:rPr>
  </w:style>
  <w:style w:type="paragraph" w:styleId="Heading5">
    <w:name w:val="heading 5"/>
    <w:basedOn w:val="Normal"/>
    <w:next w:val="Normal"/>
    <w:qFormat/>
    <w:rsid w:val="00DE632E"/>
    <w:pPr>
      <w:keepNext/>
      <w:keepLines/>
      <w:numPr>
        <w:ilvl w:val="4"/>
        <w:numId w:val="42"/>
      </w:numPr>
      <w:outlineLvl w:val="4"/>
    </w:pPr>
    <w:rPr>
      <w:rFonts w:cs="Arial"/>
      <w:bCs/>
      <w:i/>
      <w:u w:val="single"/>
    </w:rPr>
  </w:style>
  <w:style w:type="paragraph" w:styleId="Heading6">
    <w:name w:val="heading 6"/>
    <w:basedOn w:val="Heading1"/>
    <w:next w:val="Normal"/>
    <w:qFormat/>
    <w:rsid w:val="00D842FF"/>
    <w:pPr>
      <w:numPr>
        <w:ilvl w:val="5"/>
      </w:numPr>
      <w:pBdr>
        <w:bottom w:val="none" w:sz="0" w:space="0" w:color="auto"/>
      </w:pBdr>
      <w:tabs>
        <w:tab w:val="left" w:pos="2880"/>
      </w:tabs>
      <w:spacing w:after="120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basedOn w:val="Heading1"/>
    <w:next w:val="Normal"/>
    <w:qFormat/>
    <w:rsid w:val="00D842FF"/>
    <w:pPr>
      <w:numPr>
        <w:ilvl w:val="6"/>
      </w:numPr>
      <w:tabs>
        <w:tab w:val="left" w:pos="3456"/>
      </w:tabs>
      <w:outlineLvl w:val="6"/>
    </w:pPr>
  </w:style>
  <w:style w:type="paragraph" w:styleId="Heading8">
    <w:name w:val="heading 8"/>
    <w:basedOn w:val="Normal"/>
    <w:next w:val="Normal"/>
    <w:qFormat/>
    <w:rsid w:val="00DE632E"/>
    <w:pPr>
      <w:numPr>
        <w:ilvl w:val="7"/>
        <w:numId w:val="42"/>
      </w:numPr>
      <w:outlineLvl w:val="7"/>
    </w:pPr>
    <w:rPr>
      <w:rFonts w:ascii="Tms Rmn" w:hAnsi="Tms Rmn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E632E"/>
    <w:pPr>
      <w:numPr>
        <w:ilvl w:val="8"/>
        <w:numId w:val="42"/>
      </w:numPr>
      <w:outlineLvl w:val="8"/>
    </w:pPr>
    <w:rPr>
      <w:rFonts w:ascii="Tms Rmn" w:hAnsi="Tms Rmn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J">
    <w:name w:val="pJ"/>
    <w:next w:val="Normal"/>
    <w:rsid w:val="00D842FF"/>
    <w:rPr>
      <w:rFonts w:ascii="Times New Roman" w:hAnsi="Times New Roman"/>
      <w:sz w:val="24"/>
      <w:szCs w:val="24"/>
    </w:rPr>
  </w:style>
  <w:style w:type="paragraph" w:customStyle="1" w:styleId="pB">
    <w:name w:val="pB"/>
    <w:basedOn w:val="Normal"/>
    <w:rsid w:val="0011319A"/>
    <w:pPr>
      <w:tabs>
        <w:tab w:val="left" w:pos="720"/>
        <w:tab w:val="left" w:pos="1080"/>
      </w:tabs>
      <w:ind w:right="288"/>
    </w:pPr>
  </w:style>
  <w:style w:type="paragraph" w:customStyle="1" w:styleId="pF">
    <w:name w:val="pF"/>
    <w:rsid w:val="0011319A"/>
    <w:rPr>
      <w:rFonts w:ascii="Times New Roman" w:hAnsi="Times New Roman"/>
      <w:sz w:val="24"/>
      <w:szCs w:val="24"/>
    </w:rPr>
  </w:style>
  <w:style w:type="paragraph" w:customStyle="1" w:styleId="pS">
    <w:name w:val="pS"/>
    <w:rsid w:val="00D842FF"/>
    <w:pPr>
      <w:tabs>
        <w:tab w:val="left" w:pos="720"/>
        <w:tab w:val="left" w:pos="1080"/>
      </w:tabs>
      <w:ind w:right="288"/>
    </w:pPr>
    <w:rPr>
      <w:rFonts w:ascii="Times New Roman" w:hAnsi="Times New Roman"/>
      <w:sz w:val="24"/>
      <w:szCs w:val="24"/>
    </w:rPr>
  </w:style>
  <w:style w:type="paragraph" w:customStyle="1" w:styleId="pD">
    <w:name w:val="pD"/>
    <w:basedOn w:val="pF"/>
    <w:rsid w:val="00D842FF"/>
    <w:pPr>
      <w:tabs>
        <w:tab w:val="left" w:pos="1152"/>
      </w:tabs>
      <w:spacing w:before="60" w:line="280" w:lineRule="atLeast"/>
      <w:ind w:left="1152" w:right="288"/>
    </w:pPr>
  </w:style>
  <w:style w:type="paragraph" w:customStyle="1" w:styleId="pE">
    <w:name w:val="pE"/>
    <w:basedOn w:val="pD"/>
    <w:rsid w:val="00D842FF"/>
    <w:pPr>
      <w:tabs>
        <w:tab w:val="clear" w:pos="1152"/>
      </w:tabs>
      <w:spacing w:line="240" w:lineRule="atLeast"/>
      <w:ind w:left="1440" w:hanging="288"/>
    </w:pPr>
  </w:style>
  <w:style w:type="paragraph" w:styleId="Header">
    <w:name w:val="header"/>
    <w:basedOn w:val="pF"/>
    <w:rsid w:val="009D0319"/>
    <w:pPr>
      <w:pBdr>
        <w:bottom w:val="single" w:sz="12" w:space="1" w:color="auto"/>
      </w:pBdr>
      <w:tabs>
        <w:tab w:val="right" w:pos="9000"/>
      </w:tabs>
      <w:spacing w:after="0"/>
      <w:ind w:left="0" w:firstLine="0"/>
      <w:jc w:val="center"/>
    </w:pPr>
    <w:rPr>
      <w:rFonts w:ascii="Tms Rmn" w:hAnsi="Tms Rmn"/>
      <w:i/>
      <w:iCs/>
    </w:rPr>
  </w:style>
  <w:style w:type="paragraph" w:styleId="Footer">
    <w:name w:val="footer"/>
    <w:basedOn w:val="Header"/>
    <w:link w:val="FooterChar"/>
    <w:uiPriority w:val="99"/>
    <w:rsid w:val="0047130C"/>
    <w:pPr>
      <w:pBdr>
        <w:top w:val="single" w:sz="12" w:space="1" w:color="auto"/>
        <w:bottom w:val="none" w:sz="0" w:space="0" w:color="auto"/>
      </w:pBdr>
      <w:tabs>
        <w:tab w:val="clear" w:pos="9000"/>
        <w:tab w:val="center" w:pos="4680"/>
        <w:tab w:val="right" w:pos="9360"/>
      </w:tabs>
      <w:jc w:val="left"/>
    </w:pPr>
  </w:style>
  <w:style w:type="character" w:styleId="FootnoteReference">
    <w:name w:val="footnote reference"/>
    <w:basedOn w:val="DefaultParagraphFont"/>
    <w:rsid w:val="00D90BE0"/>
    <w:rPr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autoRedefine/>
    <w:rsid w:val="008648EA"/>
    <w:pPr>
      <w:tabs>
        <w:tab w:val="left" w:pos="270"/>
      </w:tabs>
      <w:spacing w:after="0" w:line="240" w:lineRule="auto"/>
      <w:ind w:left="270" w:hanging="270"/>
      <w:jc w:val="left"/>
    </w:pPr>
    <w:rPr>
      <w:rFonts w:ascii="Tms Rmn" w:hAnsi="Tms Rmn"/>
      <w:sz w:val="16"/>
      <w:szCs w:val="20"/>
    </w:rPr>
  </w:style>
  <w:style w:type="paragraph" w:styleId="Index1">
    <w:name w:val="index 1"/>
    <w:basedOn w:val="Normal"/>
    <w:next w:val="Normal"/>
    <w:rsid w:val="00D842FF"/>
    <w:rPr>
      <w:rFonts w:ascii="Tms Rmn" w:hAnsi="Tms Rmn"/>
    </w:rPr>
  </w:style>
  <w:style w:type="paragraph" w:styleId="Index2">
    <w:name w:val="index 2"/>
    <w:basedOn w:val="Normal"/>
    <w:next w:val="Normal"/>
    <w:rsid w:val="00D842FF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rsid w:val="00D842FF"/>
    <w:rPr>
      <w:rFonts w:ascii="Tms Rmn" w:hAnsi="Tms Rmn"/>
    </w:rPr>
  </w:style>
  <w:style w:type="paragraph" w:styleId="Index4">
    <w:name w:val="index 4"/>
    <w:basedOn w:val="Normal"/>
    <w:next w:val="Normal"/>
    <w:rsid w:val="00D842FF"/>
    <w:rPr>
      <w:rFonts w:ascii="Tms Rmn" w:hAnsi="Tms Rmn"/>
    </w:rPr>
  </w:style>
  <w:style w:type="paragraph" w:styleId="Index5">
    <w:name w:val="index 5"/>
    <w:basedOn w:val="Normal"/>
    <w:next w:val="Normal"/>
    <w:rsid w:val="00D842FF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rsid w:val="00D842FF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rsid w:val="00D842FF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rsid w:val="00D842FF"/>
    <w:rPr>
      <w:rFonts w:ascii="Tms Rmn" w:hAnsi="Tms Rmn"/>
    </w:rPr>
  </w:style>
  <w:style w:type="character" w:styleId="LineNumber">
    <w:name w:val="line number"/>
    <w:basedOn w:val="DefaultParagraphFont"/>
    <w:rsid w:val="00D842FF"/>
  </w:style>
  <w:style w:type="paragraph" w:customStyle="1" w:styleId="pA">
    <w:name w:val="pA"/>
    <w:rsid w:val="0011319A"/>
    <w:pPr>
      <w:spacing w:line="130" w:lineRule="exact"/>
    </w:pPr>
    <w:rPr>
      <w:rFonts w:ascii="Times New Roman" w:hAnsi="Times New Roman"/>
      <w:sz w:val="24"/>
      <w:szCs w:val="24"/>
    </w:rPr>
  </w:style>
  <w:style w:type="paragraph" w:customStyle="1" w:styleId="pG">
    <w:name w:val="pG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T">
    <w:name w:val="pT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X">
    <w:name w:val="pX"/>
    <w:basedOn w:val="pF"/>
    <w:rsid w:val="00D842FF"/>
    <w:pPr>
      <w:spacing w:line="240" w:lineRule="atLeast"/>
    </w:pPr>
  </w:style>
  <w:style w:type="paragraph" w:customStyle="1" w:styleId="TitlePage">
    <w:name w:val="Title Page"/>
    <w:basedOn w:val="Normal"/>
    <w:rsid w:val="008E2E63"/>
    <w:pPr>
      <w:spacing w:after="130"/>
      <w:ind w:left="1440" w:right="1440" w:hanging="432"/>
      <w:jc w:val="center"/>
    </w:pPr>
    <w:rPr>
      <w:rFonts w:ascii="Arial" w:hAnsi="Arial" w:cs="Arial"/>
      <w:b/>
      <w:bCs/>
      <w:sz w:val="36"/>
      <w:szCs w:val="36"/>
    </w:rPr>
  </w:style>
  <w:style w:type="paragraph" w:styleId="TOC1">
    <w:name w:val="toc 1"/>
    <w:basedOn w:val="pF"/>
    <w:next w:val="Normal"/>
    <w:uiPriority w:val="39"/>
    <w:rsid w:val="00E37D92"/>
    <w:pPr>
      <w:tabs>
        <w:tab w:val="right" w:leader="dot" w:pos="9000"/>
      </w:tabs>
      <w:spacing w:before="120" w:line="240" w:lineRule="auto"/>
      <w:ind w:left="0" w:right="360" w:firstLine="0"/>
    </w:pPr>
    <w:rPr>
      <w:rFonts w:ascii="Arial" w:hAnsi="Arial" w:cs="Arial"/>
      <w:b/>
      <w:bCs/>
    </w:rPr>
  </w:style>
  <w:style w:type="paragraph" w:styleId="TOC2">
    <w:name w:val="toc 2"/>
    <w:basedOn w:val="TOC1"/>
    <w:next w:val="Normal"/>
    <w:uiPriority w:val="39"/>
    <w:rsid w:val="00E37D92"/>
    <w:pPr>
      <w:spacing w:before="0" w:after="0"/>
      <w:ind w:left="864" w:right="720" w:hanging="432"/>
    </w:pPr>
    <w:rPr>
      <w:b w:val="0"/>
      <w:bCs w:val="0"/>
    </w:rPr>
  </w:style>
  <w:style w:type="paragraph" w:styleId="TOC3">
    <w:name w:val="toc 3"/>
    <w:basedOn w:val="TOC1"/>
    <w:uiPriority w:val="39"/>
    <w:rsid w:val="00E37D92"/>
    <w:pPr>
      <w:spacing w:before="0" w:after="0"/>
      <w:ind w:left="1296" w:right="720" w:hanging="432"/>
    </w:pPr>
    <w:rPr>
      <w:b w:val="0"/>
      <w:bCs w:val="0"/>
      <w:i/>
      <w:iCs/>
      <w:sz w:val="20"/>
      <w:szCs w:val="20"/>
    </w:rPr>
  </w:style>
  <w:style w:type="paragraph" w:styleId="TOC4">
    <w:name w:val="toc 4"/>
    <w:basedOn w:val="TOC1"/>
    <w:rsid w:val="00D842FF"/>
    <w:pPr>
      <w:spacing w:before="0" w:after="0"/>
    </w:pPr>
    <w:rPr>
      <w:rFonts w:cs="Times New Roman"/>
      <w:b w:val="0"/>
      <w:bCs w:val="0"/>
      <w:sz w:val="20"/>
      <w:szCs w:val="20"/>
    </w:rPr>
  </w:style>
  <w:style w:type="paragraph" w:styleId="TOC5">
    <w:name w:val="toc 5"/>
    <w:basedOn w:val="TOC4"/>
    <w:next w:val="Normal"/>
    <w:rsid w:val="00D842FF"/>
  </w:style>
  <w:style w:type="paragraph" w:styleId="EnvelopeAddress">
    <w:name w:val="envelope address"/>
    <w:basedOn w:val="Normal"/>
    <w:rsid w:val="00D842FF"/>
    <w:pPr>
      <w:framePr w:w="7920" w:h="1980" w:hRule="exact" w:hSpace="180" w:wrap="auto" w:hAnchor="page" w:xAlign="center" w:yAlign="bottom"/>
      <w:ind w:left="2880"/>
    </w:pPr>
    <w:rPr>
      <w:rFonts w:ascii="Arial Narrow" w:hAnsi="Arial Narrow"/>
      <w:smallCaps/>
    </w:rPr>
  </w:style>
  <w:style w:type="paragraph" w:customStyle="1" w:styleId="Large">
    <w:name w:val="Large"/>
    <w:basedOn w:val="pF"/>
    <w:next w:val="pF"/>
    <w:rsid w:val="00D842FF"/>
    <w:pPr>
      <w:keepNext/>
      <w:spacing w:before="480" w:after="360" w:line="720" w:lineRule="exact"/>
    </w:pPr>
    <w:rPr>
      <w:rFonts w:ascii="Arial" w:hAnsi="Arial" w:cs="Arial"/>
      <w:b/>
      <w:bCs/>
      <w:i/>
      <w:iCs/>
      <w:sz w:val="72"/>
      <w:szCs w:val="72"/>
    </w:rPr>
  </w:style>
  <w:style w:type="paragraph" w:styleId="ListBullet">
    <w:name w:val="List Bullet"/>
    <w:basedOn w:val="Normal"/>
    <w:rsid w:val="00D842FF"/>
    <w:pPr>
      <w:ind w:left="360"/>
    </w:pPr>
  </w:style>
  <w:style w:type="paragraph" w:customStyle="1" w:styleId="pA2">
    <w:name w:val="pA2"/>
    <w:basedOn w:val="pA"/>
    <w:next w:val="pA"/>
    <w:rsid w:val="0011319A"/>
  </w:style>
  <w:style w:type="paragraph" w:styleId="Caption">
    <w:name w:val="caption"/>
    <w:basedOn w:val="Normal"/>
    <w:next w:val="Normal"/>
    <w:autoRedefine/>
    <w:qFormat/>
    <w:rsid w:val="00D90BE0"/>
    <w:pPr>
      <w:keepNext/>
      <w:widowControl w:val="0"/>
      <w:spacing w:before="240" w:after="240" w:line="240" w:lineRule="auto"/>
      <w:jc w:val="left"/>
    </w:pPr>
    <w:rPr>
      <w:rFonts w:ascii="Arial" w:hAnsi="Arial" w:cs="Arial"/>
      <w:b/>
      <w:bCs/>
    </w:rPr>
  </w:style>
  <w:style w:type="paragraph" w:customStyle="1" w:styleId="resumeparagraph">
    <w:name w:val="resume paragraph"/>
    <w:rsid w:val="00D842FF"/>
    <w:pPr>
      <w:spacing w:before="100" w:line="240" w:lineRule="exact"/>
      <w:ind w:hanging="288"/>
    </w:pPr>
    <w:rPr>
      <w:rFonts w:ascii="Times New Roman" w:hAnsi="Times New Roman"/>
      <w:sz w:val="24"/>
      <w:szCs w:val="24"/>
    </w:rPr>
  </w:style>
  <w:style w:type="paragraph" w:customStyle="1" w:styleId="Headline">
    <w:name w:val="Headline"/>
    <w:basedOn w:val="Normal"/>
    <w:rsid w:val="00D842FF"/>
    <w:pPr>
      <w:spacing w:line="240" w:lineRule="auto"/>
    </w:pPr>
    <w:rPr>
      <w:b/>
      <w:bCs/>
      <w:sz w:val="36"/>
      <w:szCs w:val="36"/>
    </w:rPr>
  </w:style>
  <w:style w:type="paragraph" w:customStyle="1" w:styleId="projtitle">
    <w:name w:val="projtitle"/>
    <w:basedOn w:val="Normal"/>
    <w:next w:val="For"/>
    <w:rsid w:val="00D842FF"/>
    <w:pPr>
      <w:keepNext/>
      <w:keepLines/>
      <w:tabs>
        <w:tab w:val="left" w:pos="720"/>
        <w:tab w:val="left" w:pos="1080"/>
      </w:tabs>
      <w:spacing w:line="280" w:lineRule="exact"/>
      <w:ind w:left="288" w:right="288"/>
    </w:pPr>
    <w:rPr>
      <w:b/>
      <w:bCs/>
      <w:i/>
      <w:iCs/>
    </w:rPr>
  </w:style>
  <w:style w:type="paragraph" w:customStyle="1" w:styleId="summary">
    <w:name w:val="summary"/>
    <w:basedOn w:val="pB"/>
    <w:next w:val="projtitle"/>
    <w:rsid w:val="00D842FF"/>
    <w:pPr>
      <w:tabs>
        <w:tab w:val="clear" w:pos="720"/>
        <w:tab w:val="clear" w:pos="1080"/>
        <w:tab w:val="left" w:pos="-1170"/>
      </w:tabs>
      <w:spacing w:after="240"/>
    </w:pPr>
  </w:style>
  <w:style w:type="paragraph" w:customStyle="1" w:styleId="For">
    <w:name w:val="For"/>
    <w:basedOn w:val="Normal"/>
    <w:next w:val="Contact"/>
    <w:rsid w:val="00D842FF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Contact">
    <w:name w:val="Contact"/>
    <w:basedOn w:val="Normal"/>
    <w:next w:val="summary"/>
    <w:rsid w:val="00D842FF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question">
    <w:name w:val="question"/>
    <w:basedOn w:val="pF"/>
    <w:rsid w:val="00D842FF"/>
    <w:pPr>
      <w:ind w:hanging="720"/>
    </w:pPr>
  </w:style>
  <w:style w:type="paragraph" w:styleId="TOC6">
    <w:name w:val="toc 6"/>
    <w:basedOn w:val="Normal"/>
    <w:next w:val="Normal"/>
    <w:rsid w:val="00D842FF"/>
    <w:pPr>
      <w:tabs>
        <w:tab w:val="right" w:leader="dot" w:pos="9000"/>
      </w:tabs>
      <w:spacing w:line="240" w:lineRule="auto"/>
      <w:ind w:left="1200"/>
    </w:pPr>
  </w:style>
  <w:style w:type="paragraph" w:customStyle="1" w:styleId="Variabledefinition">
    <w:name w:val="Variable definition"/>
    <w:basedOn w:val="pD"/>
    <w:rsid w:val="00D842FF"/>
    <w:pPr>
      <w:tabs>
        <w:tab w:val="left" w:pos="720"/>
        <w:tab w:val="left" w:pos="1440"/>
        <w:tab w:val="left" w:pos="2160"/>
      </w:tabs>
      <w:ind w:left="2520" w:hanging="1800"/>
    </w:pPr>
    <w:rPr>
      <w:i/>
      <w:iCs/>
    </w:rPr>
  </w:style>
  <w:style w:type="paragraph" w:customStyle="1" w:styleId="tablefootnote">
    <w:name w:val="table footnote"/>
    <w:basedOn w:val="Normal"/>
    <w:link w:val="tablefootnoteChar"/>
    <w:rsid w:val="008E2E63"/>
    <w:pPr>
      <w:keepNext/>
      <w:keepLines/>
      <w:tabs>
        <w:tab w:val="left" w:pos="274"/>
      </w:tabs>
      <w:spacing w:before="60" w:after="0" w:line="240" w:lineRule="auto"/>
      <w:ind w:left="274" w:hanging="274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F70106"/>
    <w:pPr>
      <w:tabs>
        <w:tab w:val="right" w:leader="dot" w:pos="9000"/>
      </w:tabs>
      <w:spacing w:before="120" w:after="130" w:line="240" w:lineRule="auto"/>
      <w:ind w:left="475" w:right="720" w:hanging="475"/>
    </w:pPr>
    <w:rPr>
      <w:rFonts w:ascii="Arial" w:hAnsi="Arial" w:cs="Arial"/>
    </w:rPr>
  </w:style>
  <w:style w:type="paragraph" w:styleId="BalloonText">
    <w:name w:val="Balloon Text"/>
    <w:basedOn w:val="Normal"/>
    <w:rsid w:val="00D842F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D842F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842FF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D842FF"/>
    <w:rPr>
      <w:b/>
      <w:bCs/>
    </w:rPr>
  </w:style>
  <w:style w:type="paragraph" w:styleId="DocumentMap">
    <w:name w:val="Document Map"/>
    <w:basedOn w:val="Normal"/>
    <w:rsid w:val="00D842FF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D842FF"/>
  </w:style>
  <w:style w:type="table" w:styleId="TableGrid">
    <w:name w:val="Table Grid"/>
    <w:basedOn w:val="TableNormal"/>
    <w:uiPriority w:val="59"/>
    <w:rsid w:val="00D842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TitleSub"/>
    <w:link w:val="TitleChar"/>
    <w:uiPriority w:val="10"/>
    <w:qFormat/>
    <w:rsid w:val="00E251FF"/>
    <w:pPr>
      <w:spacing w:after="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40"/>
      <w:szCs w:val="52"/>
    </w:rPr>
  </w:style>
  <w:style w:type="character" w:styleId="Hyperlink">
    <w:name w:val="Hyperlink"/>
    <w:basedOn w:val="DefaultParagraphFont"/>
    <w:rsid w:val="00D842FF"/>
    <w:rPr>
      <w:color w:val="0000FF"/>
      <w:u w:val="single"/>
    </w:rPr>
  </w:style>
  <w:style w:type="paragraph" w:customStyle="1" w:styleId="CEUSIndent5">
    <w:name w:val="CEUS_Indent5"/>
    <w:basedOn w:val="pE"/>
    <w:rsid w:val="00D842FF"/>
    <w:pPr>
      <w:ind w:left="2070" w:hanging="432"/>
    </w:pPr>
    <w:rPr>
      <w:szCs w:val="20"/>
    </w:rPr>
  </w:style>
  <w:style w:type="paragraph" w:styleId="ListBullet2">
    <w:name w:val="List Bullet 2"/>
    <w:basedOn w:val="Normal"/>
    <w:rsid w:val="00D842FF"/>
    <w:pPr>
      <w:numPr>
        <w:numId w:val="35"/>
      </w:numPr>
      <w:contextualSpacing/>
    </w:pPr>
  </w:style>
  <w:style w:type="numbering" w:customStyle="1" w:styleId="Itron">
    <w:name w:val="Itron"/>
    <w:uiPriority w:val="99"/>
    <w:rsid w:val="008F6F18"/>
    <w:pPr>
      <w:numPr>
        <w:numId w:val="10"/>
      </w:numPr>
    </w:pPr>
  </w:style>
  <w:style w:type="numbering" w:customStyle="1" w:styleId="CnAListBullets">
    <w:name w:val="CnAListBullets"/>
    <w:uiPriority w:val="99"/>
    <w:rsid w:val="00D842FF"/>
    <w:pPr>
      <w:numPr>
        <w:numId w:val="11"/>
      </w:numPr>
    </w:pPr>
  </w:style>
  <w:style w:type="paragraph" w:styleId="ListParagraph">
    <w:name w:val="List Paragraph"/>
    <w:basedOn w:val="Normal"/>
    <w:uiPriority w:val="34"/>
    <w:qFormat/>
    <w:rsid w:val="00D842FF"/>
    <w:pPr>
      <w:spacing w:after="80"/>
    </w:pPr>
  </w:style>
  <w:style w:type="paragraph" w:customStyle="1" w:styleId="CoverTitle">
    <w:name w:val="CoverTitle"/>
    <w:basedOn w:val="Normal"/>
    <w:link w:val="CoverTitleChar"/>
    <w:qFormat/>
    <w:rsid w:val="00D842FF"/>
    <w:pPr>
      <w:spacing w:after="120"/>
      <w:jc w:val="center"/>
    </w:pPr>
    <w:rPr>
      <w:rFonts w:ascii="Arial" w:hAnsi="Arial"/>
      <w:b/>
      <w:sz w:val="40"/>
    </w:rPr>
  </w:style>
  <w:style w:type="character" w:customStyle="1" w:styleId="CoverTitleChar">
    <w:name w:val="CoverTitle Char"/>
    <w:basedOn w:val="DefaultParagraphFont"/>
    <w:link w:val="CoverTitle"/>
    <w:rsid w:val="00D842FF"/>
    <w:rPr>
      <w:rFonts w:ascii="Arial" w:hAnsi="Arial"/>
      <w:b/>
      <w:sz w:val="40"/>
      <w:szCs w:val="24"/>
    </w:rPr>
  </w:style>
  <w:style w:type="paragraph" w:customStyle="1" w:styleId="CoverNormal">
    <w:name w:val="CoverNormal"/>
    <w:basedOn w:val="Normal"/>
    <w:link w:val="CoverNormalChar"/>
    <w:qFormat/>
    <w:rsid w:val="00D842FF"/>
    <w:pPr>
      <w:contextualSpacing/>
      <w:jc w:val="center"/>
    </w:pPr>
    <w:rPr>
      <w:rFonts w:ascii="Arial" w:hAnsi="Arial"/>
    </w:rPr>
  </w:style>
  <w:style w:type="character" w:customStyle="1" w:styleId="CoverNormalChar">
    <w:name w:val="CoverNormal Char"/>
    <w:basedOn w:val="DefaultParagraphFont"/>
    <w:link w:val="CoverNormal"/>
    <w:rsid w:val="00D842FF"/>
    <w:rPr>
      <w:rFonts w:ascii="Arial" w:hAnsi="Arial"/>
      <w:sz w:val="24"/>
      <w:szCs w:val="24"/>
    </w:rPr>
  </w:style>
  <w:style w:type="paragraph" w:customStyle="1" w:styleId="Halfline">
    <w:name w:val="Halfline"/>
    <w:basedOn w:val="Normal"/>
    <w:next w:val="Normal"/>
    <w:link w:val="HalflineChar"/>
    <w:qFormat/>
    <w:rsid w:val="00DE632E"/>
    <w:pPr>
      <w:spacing w:after="130" w:line="130" w:lineRule="exact"/>
      <w:jc w:val="left"/>
    </w:pPr>
  </w:style>
  <w:style w:type="character" w:customStyle="1" w:styleId="HalflineChar">
    <w:name w:val="Halfline Char"/>
    <w:basedOn w:val="DefaultParagraphFont"/>
    <w:link w:val="Halfline"/>
    <w:rsid w:val="00DE632E"/>
    <w:rPr>
      <w:rFonts w:ascii="Times New Roman" w:hAnsi="Times New Roman"/>
      <w:sz w:val="24"/>
      <w:szCs w:val="24"/>
    </w:rPr>
  </w:style>
  <w:style w:type="paragraph" w:customStyle="1" w:styleId="LetterheadParagraph">
    <w:name w:val="Letterhead Paragraph"/>
    <w:basedOn w:val="Normal"/>
    <w:qFormat/>
    <w:rsid w:val="00573DEC"/>
    <w:pPr>
      <w:spacing w:after="0"/>
    </w:pPr>
    <w:rPr>
      <w:rFonts w:ascii="Arial Narrow" w:hAnsi="Arial Narrow"/>
    </w:rPr>
  </w:style>
  <w:style w:type="character" w:customStyle="1" w:styleId="FootnoteTextChar">
    <w:name w:val="Footnote Text Char"/>
    <w:basedOn w:val="DefaultParagraphFont"/>
    <w:link w:val="FootnoteText"/>
    <w:rsid w:val="008648EA"/>
    <w:rPr>
      <w:sz w:val="16"/>
    </w:rPr>
  </w:style>
  <w:style w:type="character" w:customStyle="1" w:styleId="tablefootnoteChar">
    <w:name w:val="table footnote Char"/>
    <w:basedOn w:val="DefaultParagraphFont"/>
    <w:link w:val="tablefootnote"/>
    <w:rsid w:val="009D0319"/>
    <w:rPr>
      <w:rFonts w:ascii="Times New Roman" w:hAnsi="Times New Roman"/>
    </w:rPr>
  </w:style>
  <w:style w:type="paragraph" w:customStyle="1" w:styleId="TitleSub">
    <w:name w:val="TitleSub"/>
    <w:basedOn w:val="Title"/>
    <w:link w:val="TitleSubChar"/>
    <w:autoRedefine/>
    <w:qFormat/>
    <w:rsid w:val="00682A57"/>
    <w:rPr>
      <w:b w:val="0"/>
      <w:sz w:val="32"/>
    </w:rPr>
  </w:style>
  <w:style w:type="character" w:customStyle="1" w:styleId="TitleSubChar">
    <w:name w:val="TitleSub Char"/>
    <w:basedOn w:val="TitleChar"/>
    <w:link w:val="TitleSub"/>
    <w:rsid w:val="00682A57"/>
    <w:rPr>
      <w:rFonts w:ascii="Arial" w:hAnsi="Arial"/>
      <w:b/>
      <w:color w:val="17365D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251FF"/>
    <w:rPr>
      <w:rFonts w:ascii="Arial" w:hAnsi="Arial"/>
      <w:b/>
      <w:color w:val="17365D"/>
      <w:spacing w:val="5"/>
      <w:kern w:val="28"/>
      <w:sz w:val="40"/>
      <w:szCs w:val="52"/>
    </w:rPr>
  </w:style>
  <w:style w:type="paragraph" w:customStyle="1" w:styleId="TitleAdd">
    <w:name w:val="TitleAdd"/>
    <w:basedOn w:val="Title"/>
    <w:link w:val="TitleAddChar"/>
    <w:autoRedefine/>
    <w:qFormat/>
    <w:rsid w:val="00682A57"/>
    <w:rPr>
      <w:b w:val="0"/>
      <w:sz w:val="24"/>
      <w:szCs w:val="32"/>
    </w:rPr>
  </w:style>
  <w:style w:type="character" w:customStyle="1" w:styleId="TitleAddChar">
    <w:name w:val="TitleAdd Char"/>
    <w:basedOn w:val="TitleChar"/>
    <w:link w:val="TitleAdd"/>
    <w:rsid w:val="00682A57"/>
    <w:rPr>
      <w:rFonts w:ascii="Arial" w:hAnsi="Arial"/>
      <w:b/>
      <w:color w:val="17365D"/>
      <w:spacing w:val="5"/>
      <w:kern w:val="28"/>
      <w:sz w:val="24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53DF"/>
    <w:rPr>
      <w:rFonts w:ascii="Times New Roman" w:hAnsi="Times New Roman"/>
    </w:rPr>
  </w:style>
  <w:style w:type="table" w:customStyle="1" w:styleId="ItronBasic">
    <w:name w:val="ItronBasic"/>
    <w:basedOn w:val="TableNormal"/>
    <w:uiPriority w:val="99"/>
    <w:qFormat/>
    <w:rsid w:val="00B2276F"/>
    <w:pPr>
      <w:spacing w:after="0" w:line="240" w:lineRule="auto"/>
      <w:ind w:left="0" w:firstLine="0"/>
      <w:jc w:val="left"/>
    </w:p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D9D9D9" w:themeFill="background1" w:themeFillShade="D9"/>
      </w:tcPr>
    </w:tblStylePr>
  </w:style>
  <w:style w:type="table" w:styleId="TableProfessional">
    <w:name w:val="Table Professional"/>
    <w:basedOn w:val="TableNormal"/>
    <w:rsid w:val="0050194C"/>
    <w:pPr>
      <w:spacing w:after="280"/>
      <w:ind w:left="0" w:firstLine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rsid w:val="0050194C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E31C7"/>
    <w:rPr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010F38"/>
    <w:pPr>
      <w:spacing w:before="100" w:beforeAutospacing="1" w:after="100" w:afterAutospacing="1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>
      <w:pPr>
        <w:spacing w:after="130" w:line="320" w:lineRule="atLeast"/>
        <w:ind w:left="720" w:hanging="432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0886"/>
    <w:pPr>
      <w:spacing w:after="280"/>
      <w:ind w:left="0" w:firstLine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E632E"/>
    <w:pPr>
      <w:keepNext/>
      <w:numPr>
        <w:numId w:val="42"/>
      </w:numPr>
      <w:pBdr>
        <w:bottom w:val="single" w:sz="12" w:space="26" w:color="auto"/>
      </w:pBdr>
      <w:spacing w:after="240"/>
      <w:jc w:val="left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DE632E"/>
    <w:pPr>
      <w:keepNext/>
      <w:numPr>
        <w:ilvl w:val="1"/>
        <w:numId w:val="42"/>
      </w:numPr>
      <w:spacing w:before="480" w:after="18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autoRedefine/>
    <w:qFormat/>
    <w:rsid w:val="00DE632E"/>
    <w:pPr>
      <w:keepNext/>
      <w:numPr>
        <w:ilvl w:val="2"/>
        <w:numId w:val="42"/>
      </w:numPr>
      <w:spacing w:after="180" w:line="240" w:lineRule="auto"/>
      <w:jc w:val="left"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DE632E"/>
    <w:pPr>
      <w:keepNext/>
      <w:keepLines/>
      <w:numPr>
        <w:ilvl w:val="3"/>
        <w:numId w:val="42"/>
      </w:numPr>
      <w:spacing w:after="180"/>
      <w:jc w:val="left"/>
      <w:outlineLvl w:val="3"/>
    </w:pPr>
    <w:rPr>
      <w:b/>
      <w:i/>
      <w:iCs/>
      <w:u w:val="single"/>
    </w:rPr>
  </w:style>
  <w:style w:type="paragraph" w:styleId="Heading5">
    <w:name w:val="heading 5"/>
    <w:basedOn w:val="Normal"/>
    <w:next w:val="Normal"/>
    <w:qFormat/>
    <w:rsid w:val="00DE632E"/>
    <w:pPr>
      <w:keepNext/>
      <w:keepLines/>
      <w:numPr>
        <w:ilvl w:val="4"/>
        <w:numId w:val="42"/>
      </w:numPr>
      <w:outlineLvl w:val="4"/>
    </w:pPr>
    <w:rPr>
      <w:rFonts w:cs="Arial"/>
      <w:bCs/>
      <w:i/>
      <w:u w:val="single"/>
    </w:rPr>
  </w:style>
  <w:style w:type="paragraph" w:styleId="Heading6">
    <w:name w:val="heading 6"/>
    <w:basedOn w:val="Heading1"/>
    <w:next w:val="Normal"/>
    <w:qFormat/>
    <w:rsid w:val="00D842FF"/>
    <w:pPr>
      <w:numPr>
        <w:ilvl w:val="5"/>
      </w:numPr>
      <w:pBdr>
        <w:bottom w:val="none" w:sz="0" w:space="0" w:color="auto"/>
      </w:pBdr>
      <w:tabs>
        <w:tab w:val="left" w:pos="2880"/>
      </w:tabs>
      <w:spacing w:after="120"/>
      <w:outlineLvl w:val="5"/>
    </w:pPr>
    <w:rPr>
      <w:rFonts w:ascii="Times New Roman" w:hAnsi="Times New Roman"/>
      <w:sz w:val="24"/>
      <w:szCs w:val="24"/>
    </w:rPr>
  </w:style>
  <w:style w:type="paragraph" w:styleId="Heading7">
    <w:name w:val="heading 7"/>
    <w:basedOn w:val="Heading1"/>
    <w:next w:val="Normal"/>
    <w:qFormat/>
    <w:rsid w:val="00D842FF"/>
    <w:pPr>
      <w:numPr>
        <w:ilvl w:val="6"/>
      </w:numPr>
      <w:tabs>
        <w:tab w:val="left" w:pos="3456"/>
      </w:tabs>
      <w:outlineLvl w:val="6"/>
    </w:pPr>
  </w:style>
  <w:style w:type="paragraph" w:styleId="Heading8">
    <w:name w:val="heading 8"/>
    <w:basedOn w:val="Normal"/>
    <w:next w:val="Normal"/>
    <w:qFormat/>
    <w:rsid w:val="00DE632E"/>
    <w:pPr>
      <w:numPr>
        <w:ilvl w:val="7"/>
        <w:numId w:val="42"/>
      </w:numPr>
      <w:outlineLvl w:val="7"/>
    </w:pPr>
    <w:rPr>
      <w:rFonts w:ascii="Tms Rmn" w:hAnsi="Tms Rmn"/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E632E"/>
    <w:pPr>
      <w:numPr>
        <w:ilvl w:val="8"/>
        <w:numId w:val="42"/>
      </w:numPr>
      <w:outlineLvl w:val="8"/>
    </w:pPr>
    <w:rPr>
      <w:rFonts w:ascii="Tms Rmn" w:hAnsi="Tms Rmn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J">
    <w:name w:val="pJ"/>
    <w:next w:val="Normal"/>
    <w:rsid w:val="00D842FF"/>
    <w:rPr>
      <w:rFonts w:ascii="Times New Roman" w:hAnsi="Times New Roman"/>
      <w:sz w:val="24"/>
      <w:szCs w:val="24"/>
    </w:rPr>
  </w:style>
  <w:style w:type="paragraph" w:customStyle="1" w:styleId="pB">
    <w:name w:val="pB"/>
    <w:basedOn w:val="Normal"/>
    <w:rsid w:val="0011319A"/>
    <w:pPr>
      <w:tabs>
        <w:tab w:val="left" w:pos="720"/>
        <w:tab w:val="left" w:pos="1080"/>
      </w:tabs>
      <w:ind w:right="288"/>
    </w:pPr>
  </w:style>
  <w:style w:type="paragraph" w:customStyle="1" w:styleId="pF">
    <w:name w:val="pF"/>
    <w:rsid w:val="0011319A"/>
    <w:rPr>
      <w:rFonts w:ascii="Times New Roman" w:hAnsi="Times New Roman"/>
      <w:sz w:val="24"/>
      <w:szCs w:val="24"/>
    </w:rPr>
  </w:style>
  <w:style w:type="paragraph" w:customStyle="1" w:styleId="pS">
    <w:name w:val="pS"/>
    <w:rsid w:val="00D842FF"/>
    <w:pPr>
      <w:tabs>
        <w:tab w:val="left" w:pos="720"/>
        <w:tab w:val="left" w:pos="1080"/>
      </w:tabs>
      <w:ind w:right="288"/>
    </w:pPr>
    <w:rPr>
      <w:rFonts w:ascii="Times New Roman" w:hAnsi="Times New Roman"/>
      <w:sz w:val="24"/>
      <w:szCs w:val="24"/>
    </w:rPr>
  </w:style>
  <w:style w:type="paragraph" w:customStyle="1" w:styleId="pD">
    <w:name w:val="pD"/>
    <w:basedOn w:val="pF"/>
    <w:rsid w:val="00D842FF"/>
    <w:pPr>
      <w:tabs>
        <w:tab w:val="left" w:pos="1152"/>
      </w:tabs>
      <w:spacing w:before="60" w:line="280" w:lineRule="atLeast"/>
      <w:ind w:left="1152" w:right="288"/>
    </w:pPr>
  </w:style>
  <w:style w:type="paragraph" w:customStyle="1" w:styleId="pE">
    <w:name w:val="pE"/>
    <w:basedOn w:val="pD"/>
    <w:rsid w:val="00D842FF"/>
    <w:pPr>
      <w:tabs>
        <w:tab w:val="clear" w:pos="1152"/>
      </w:tabs>
      <w:spacing w:line="240" w:lineRule="atLeast"/>
      <w:ind w:left="1440" w:hanging="288"/>
    </w:pPr>
  </w:style>
  <w:style w:type="paragraph" w:styleId="Header">
    <w:name w:val="header"/>
    <w:basedOn w:val="pF"/>
    <w:rsid w:val="009D0319"/>
    <w:pPr>
      <w:pBdr>
        <w:bottom w:val="single" w:sz="12" w:space="1" w:color="auto"/>
      </w:pBdr>
      <w:tabs>
        <w:tab w:val="right" w:pos="9000"/>
      </w:tabs>
      <w:spacing w:after="0"/>
      <w:ind w:left="0" w:firstLine="0"/>
      <w:jc w:val="center"/>
    </w:pPr>
    <w:rPr>
      <w:rFonts w:ascii="Tms Rmn" w:hAnsi="Tms Rmn"/>
      <w:i/>
      <w:iCs/>
    </w:rPr>
  </w:style>
  <w:style w:type="paragraph" w:styleId="Footer">
    <w:name w:val="footer"/>
    <w:basedOn w:val="Header"/>
    <w:link w:val="FooterChar"/>
    <w:uiPriority w:val="99"/>
    <w:rsid w:val="0047130C"/>
    <w:pPr>
      <w:pBdr>
        <w:top w:val="single" w:sz="12" w:space="1" w:color="auto"/>
        <w:bottom w:val="none" w:sz="0" w:space="0" w:color="auto"/>
      </w:pBdr>
      <w:tabs>
        <w:tab w:val="clear" w:pos="9000"/>
        <w:tab w:val="center" w:pos="4680"/>
        <w:tab w:val="right" w:pos="9360"/>
      </w:tabs>
      <w:jc w:val="left"/>
    </w:pPr>
  </w:style>
  <w:style w:type="character" w:styleId="FootnoteReference">
    <w:name w:val="footnote reference"/>
    <w:basedOn w:val="DefaultParagraphFont"/>
    <w:rsid w:val="00D842FF"/>
    <w:rPr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autoRedefine/>
    <w:uiPriority w:val="99"/>
    <w:rsid w:val="0016491C"/>
    <w:pPr>
      <w:spacing w:after="0" w:line="240" w:lineRule="auto"/>
      <w:ind w:left="180" w:hanging="180"/>
      <w:jc w:val="left"/>
    </w:pPr>
    <w:rPr>
      <w:rFonts w:ascii="Tms Rmn" w:hAnsi="Tms Rmn"/>
      <w:sz w:val="14"/>
      <w:szCs w:val="20"/>
    </w:rPr>
  </w:style>
  <w:style w:type="paragraph" w:styleId="Index1">
    <w:name w:val="index 1"/>
    <w:basedOn w:val="Normal"/>
    <w:next w:val="Normal"/>
    <w:rsid w:val="00D842FF"/>
    <w:rPr>
      <w:rFonts w:ascii="Tms Rmn" w:hAnsi="Tms Rmn"/>
    </w:rPr>
  </w:style>
  <w:style w:type="paragraph" w:styleId="Index2">
    <w:name w:val="index 2"/>
    <w:basedOn w:val="Normal"/>
    <w:next w:val="Normal"/>
    <w:rsid w:val="00D842FF"/>
    <w:pPr>
      <w:ind w:left="360"/>
    </w:pPr>
    <w:rPr>
      <w:rFonts w:ascii="Tms Rmn" w:hAnsi="Tms Rmn"/>
    </w:rPr>
  </w:style>
  <w:style w:type="paragraph" w:styleId="Index3">
    <w:name w:val="index 3"/>
    <w:basedOn w:val="Normal"/>
    <w:next w:val="Normal"/>
    <w:rsid w:val="00D842FF"/>
    <w:rPr>
      <w:rFonts w:ascii="Tms Rmn" w:hAnsi="Tms Rmn"/>
    </w:rPr>
  </w:style>
  <w:style w:type="paragraph" w:styleId="Index4">
    <w:name w:val="index 4"/>
    <w:basedOn w:val="Normal"/>
    <w:next w:val="Normal"/>
    <w:rsid w:val="00D842FF"/>
    <w:rPr>
      <w:rFonts w:ascii="Tms Rmn" w:hAnsi="Tms Rmn"/>
    </w:rPr>
  </w:style>
  <w:style w:type="paragraph" w:styleId="Index5">
    <w:name w:val="index 5"/>
    <w:basedOn w:val="Normal"/>
    <w:next w:val="Normal"/>
    <w:rsid w:val="00D842FF"/>
    <w:pPr>
      <w:ind w:left="1440"/>
    </w:pPr>
    <w:rPr>
      <w:rFonts w:ascii="Tms Rmn" w:hAnsi="Tms Rmn"/>
    </w:rPr>
  </w:style>
  <w:style w:type="paragraph" w:styleId="Index6">
    <w:name w:val="index 6"/>
    <w:basedOn w:val="Normal"/>
    <w:next w:val="Normal"/>
    <w:rsid w:val="00D842FF"/>
    <w:pPr>
      <w:ind w:left="1800"/>
    </w:pPr>
    <w:rPr>
      <w:rFonts w:ascii="Tms Rmn" w:hAnsi="Tms Rmn"/>
    </w:rPr>
  </w:style>
  <w:style w:type="paragraph" w:styleId="Index7">
    <w:name w:val="index 7"/>
    <w:basedOn w:val="Normal"/>
    <w:next w:val="Normal"/>
    <w:rsid w:val="00D842FF"/>
    <w:pPr>
      <w:ind w:left="2160"/>
    </w:pPr>
    <w:rPr>
      <w:rFonts w:ascii="Tms Rmn" w:hAnsi="Tms Rmn"/>
    </w:rPr>
  </w:style>
  <w:style w:type="paragraph" w:styleId="IndexHeading">
    <w:name w:val="index heading"/>
    <w:basedOn w:val="Normal"/>
    <w:next w:val="Index1"/>
    <w:rsid w:val="00D842FF"/>
    <w:rPr>
      <w:rFonts w:ascii="Tms Rmn" w:hAnsi="Tms Rmn"/>
    </w:rPr>
  </w:style>
  <w:style w:type="character" w:styleId="LineNumber">
    <w:name w:val="line number"/>
    <w:basedOn w:val="DefaultParagraphFont"/>
    <w:rsid w:val="00D842FF"/>
  </w:style>
  <w:style w:type="paragraph" w:customStyle="1" w:styleId="pA">
    <w:name w:val="pA"/>
    <w:rsid w:val="0011319A"/>
    <w:pPr>
      <w:spacing w:line="130" w:lineRule="exact"/>
    </w:pPr>
    <w:rPr>
      <w:rFonts w:ascii="Times New Roman" w:hAnsi="Times New Roman"/>
      <w:sz w:val="24"/>
      <w:szCs w:val="24"/>
    </w:rPr>
  </w:style>
  <w:style w:type="paragraph" w:customStyle="1" w:styleId="pG">
    <w:name w:val="pG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T">
    <w:name w:val="pT"/>
    <w:basedOn w:val="Normal"/>
    <w:rsid w:val="008E2E63"/>
    <w:pPr>
      <w:keepNext/>
      <w:spacing w:after="130"/>
      <w:ind w:left="720" w:hanging="432"/>
    </w:pPr>
    <w:rPr>
      <w:rFonts w:ascii="Arial" w:hAnsi="Arial" w:cs="Arial"/>
      <w:b/>
      <w:bCs/>
    </w:rPr>
  </w:style>
  <w:style w:type="paragraph" w:customStyle="1" w:styleId="pX">
    <w:name w:val="pX"/>
    <w:basedOn w:val="pF"/>
    <w:rsid w:val="00D842FF"/>
    <w:pPr>
      <w:spacing w:line="240" w:lineRule="atLeast"/>
    </w:pPr>
  </w:style>
  <w:style w:type="paragraph" w:customStyle="1" w:styleId="TitlePage">
    <w:name w:val="Title Page"/>
    <w:basedOn w:val="Normal"/>
    <w:rsid w:val="008E2E63"/>
    <w:pPr>
      <w:spacing w:after="130"/>
      <w:ind w:left="1440" w:right="1440" w:hanging="432"/>
      <w:jc w:val="center"/>
    </w:pPr>
    <w:rPr>
      <w:rFonts w:ascii="Arial" w:hAnsi="Arial" w:cs="Arial"/>
      <w:b/>
      <w:bCs/>
      <w:sz w:val="36"/>
      <w:szCs w:val="36"/>
    </w:rPr>
  </w:style>
  <w:style w:type="paragraph" w:styleId="TOC1">
    <w:name w:val="toc 1"/>
    <w:basedOn w:val="pF"/>
    <w:next w:val="Normal"/>
    <w:uiPriority w:val="39"/>
    <w:rsid w:val="00E37D92"/>
    <w:pPr>
      <w:tabs>
        <w:tab w:val="right" w:leader="dot" w:pos="9000"/>
      </w:tabs>
      <w:spacing w:before="120" w:line="240" w:lineRule="auto"/>
      <w:ind w:left="0" w:right="360" w:firstLine="0"/>
    </w:pPr>
    <w:rPr>
      <w:rFonts w:ascii="Arial" w:hAnsi="Arial" w:cs="Arial"/>
      <w:b/>
      <w:bCs/>
    </w:rPr>
  </w:style>
  <w:style w:type="paragraph" w:styleId="TOC2">
    <w:name w:val="toc 2"/>
    <w:basedOn w:val="TOC1"/>
    <w:next w:val="Normal"/>
    <w:uiPriority w:val="39"/>
    <w:rsid w:val="00E37D92"/>
    <w:pPr>
      <w:spacing w:before="0" w:after="0"/>
      <w:ind w:left="864" w:right="720" w:hanging="432"/>
    </w:pPr>
    <w:rPr>
      <w:b w:val="0"/>
      <w:bCs w:val="0"/>
    </w:rPr>
  </w:style>
  <w:style w:type="paragraph" w:styleId="TOC3">
    <w:name w:val="toc 3"/>
    <w:basedOn w:val="TOC1"/>
    <w:uiPriority w:val="39"/>
    <w:rsid w:val="00E37D92"/>
    <w:pPr>
      <w:spacing w:before="0" w:after="0"/>
      <w:ind w:left="1296" w:right="720" w:hanging="432"/>
    </w:pPr>
    <w:rPr>
      <w:b w:val="0"/>
      <w:bCs w:val="0"/>
      <w:i/>
      <w:iCs/>
      <w:sz w:val="20"/>
      <w:szCs w:val="20"/>
    </w:rPr>
  </w:style>
  <w:style w:type="paragraph" w:styleId="TOC4">
    <w:name w:val="toc 4"/>
    <w:basedOn w:val="TOC1"/>
    <w:rsid w:val="00D842FF"/>
    <w:pPr>
      <w:spacing w:before="0" w:after="0"/>
    </w:pPr>
    <w:rPr>
      <w:rFonts w:cs="Times New Roman"/>
      <w:b w:val="0"/>
      <w:bCs w:val="0"/>
      <w:sz w:val="20"/>
      <w:szCs w:val="20"/>
    </w:rPr>
  </w:style>
  <w:style w:type="paragraph" w:styleId="TOC5">
    <w:name w:val="toc 5"/>
    <w:basedOn w:val="TOC4"/>
    <w:next w:val="Normal"/>
    <w:rsid w:val="00D842FF"/>
  </w:style>
  <w:style w:type="paragraph" w:styleId="EnvelopeAddress">
    <w:name w:val="envelope address"/>
    <w:basedOn w:val="Normal"/>
    <w:rsid w:val="00D842FF"/>
    <w:pPr>
      <w:framePr w:w="7920" w:h="1980" w:hRule="exact" w:hSpace="180" w:wrap="auto" w:hAnchor="page" w:xAlign="center" w:yAlign="bottom"/>
      <w:ind w:left="2880"/>
    </w:pPr>
    <w:rPr>
      <w:rFonts w:ascii="Arial Narrow" w:hAnsi="Arial Narrow"/>
      <w:smallCaps/>
    </w:rPr>
  </w:style>
  <w:style w:type="paragraph" w:customStyle="1" w:styleId="Large">
    <w:name w:val="Large"/>
    <w:basedOn w:val="pF"/>
    <w:next w:val="pF"/>
    <w:rsid w:val="00D842FF"/>
    <w:pPr>
      <w:keepNext/>
      <w:spacing w:before="480" w:after="360" w:line="720" w:lineRule="exact"/>
    </w:pPr>
    <w:rPr>
      <w:rFonts w:ascii="Arial" w:hAnsi="Arial" w:cs="Arial"/>
      <w:b/>
      <w:bCs/>
      <w:i/>
      <w:iCs/>
      <w:sz w:val="72"/>
      <w:szCs w:val="72"/>
    </w:rPr>
  </w:style>
  <w:style w:type="paragraph" w:styleId="ListBullet">
    <w:name w:val="List Bullet"/>
    <w:basedOn w:val="Normal"/>
    <w:rsid w:val="00D842FF"/>
    <w:pPr>
      <w:ind w:left="360"/>
    </w:pPr>
  </w:style>
  <w:style w:type="paragraph" w:customStyle="1" w:styleId="pA2">
    <w:name w:val="pA2"/>
    <w:basedOn w:val="pA"/>
    <w:next w:val="pA"/>
    <w:rsid w:val="0011319A"/>
  </w:style>
  <w:style w:type="paragraph" w:styleId="Caption">
    <w:name w:val="caption"/>
    <w:basedOn w:val="Normal"/>
    <w:next w:val="Normal"/>
    <w:autoRedefine/>
    <w:qFormat/>
    <w:rsid w:val="003649C0"/>
    <w:pPr>
      <w:keepNext/>
      <w:keepLines/>
      <w:spacing w:after="240" w:line="240" w:lineRule="auto"/>
      <w:ind w:left="1612" w:hanging="1166"/>
      <w:jc w:val="left"/>
    </w:pPr>
    <w:rPr>
      <w:rFonts w:ascii="Arial" w:hAnsi="Arial" w:cs="Arial"/>
      <w:b/>
      <w:bCs/>
      <w:sz w:val="22"/>
    </w:rPr>
  </w:style>
  <w:style w:type="paragraph" w:customStyle="1" w:styleId="resumeparagraph">
    <w:name w:val="resume paragraph"/>
    <w:rsid w:val="00D842FF"/>
    <w:pPr>
      <w:spacing w:before="100" w:line="240" w:lineRule="exact"/>
      <w:ind w:hanging="288"/>
    </w:pPr>
    <w:rPr>
      <w:rFonts w:ascii="Times New Roman" w:hAnsi="Times New Roman"/>
      <w:sz w:val="24"/>
      <w:szCs w:val="24"/>
    </w:rPr>
  </w:style>
  <w:style w:type="paragraph" w:customStyle="1" w:styleId="Headline">
    <w:name w:val="Headline"/>
    <w:basedOn w:val="Normal"/>
    <w:rsid w:val="00D842FF"/>
    <w:pPr>
      <w:spacing w:line="240" w:lineRule="auto"/>
    </w:pPr>
    <w:rPr>
      <w:b/>
      <w:bCs/>
      <w:sz w:val="36"/>
      <w:szCs w:val="36"/>
    </w:rPr>
  </w:style>
  <w:style w:type="paragraph" w:customStyle="1" w:styleId="projtitle">
    <w:name w:val="projtitle"/>
    <w:basedOn w:val="Normal"/>
    <w:next w:val="For"/>
    <w:rsid w:val="00D842FF"/>
    <w:pPr>
      <w:keepNext/>
      <w:keepLines/>
      <w:tabs>
        <w:tab w:val="left" w:pos="720"/>
        <w:tab w:val="left" w:pos="1080"/>
      </w:tabs>
      <w:spacing w:line="280" w:lineRule="exact"/>
      <w:ind w:left="288" w:right="288"/>
    </w:pPr>
    <w:rPr>
      <w:b/>
      <w:bCs/>
      <w:i/>
      <w:iCs/>
    </w:rPr>
  </w:style>
  <w:style w:type="paragraph" w:customStyle="1" w:styleId="summary">
    <w:name w:val="summary"/>
    <w:basedOn w:val="pB"/>
    <w:next w:val="projtitle"/>
    <w:rsid w:val="00D842FF"/>
    <w:pPr>
      <w:tabs>
        <w:tab w:val="clear" w:pos="720"/>
        <w:tab w:val="clear" w:pos="1080"/>
        <w:tab w:val="left" w:pos="-1170"/>
      </w:tabs>
      <w:spacing w:after="240"/>
    </w:pPr>
  </w:style>
  <w:style w:type="paragraph" w:customStyle="1" w:styleId="For">
    <w:name w:val="For"/>
    <w:basedOn w:val="Normal"/>
    <w:next w:val="Contact"/>
    <w:rsid w:val="00D842FF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Contact">
    <w:name w:val="Contact"/>
    <w:basedOn w:val="Normal"/>
    <w:next w:val="summary"/>
    <w:rsid w:val="00D842FF"/>
    <w:pPr>
      <w:keepNext/>
      <w:keepLines/>
      <w:tabs>
        <w:tab w:val="left" w:pos="720"/>
        <w:tab w:val="left" w:pos="1080"/>
      </w:tabs>
      <w:spacing w:line="280" w:lineRule="exact"/>
      <w:ind w:left="1152" w:right="288"/>
    </w:pPr>
  </w:style>
  <w:style w:type="paragraph" w:customStyle="1" w:styleId="question">
    <w:name w:val="question"/>
    <w:basedOn w:val="pF"/>
    <w:rsid w:val="00D842FF"/>
    <w:pPr>
      <w:ind w:hanging="720"/>
    </w:pPr>
  </w:style>
  <w:style w:type="paragraph" w:styleId="TOC6">
    <w:name w:val="toc 6"/>
    <w:basedOn w:val="Normal"/>
    <w:next w:val="Normal"/>
    <w:rsid w:val="00D842FF"/>
    <w:pPr>
      <w:tabs>
        <w:tab w:val="right" w:leader="dot" w:pos="9000"/>
      </w:tabs>
      <w:spacing w:line="240" w:lineRule="auto"/>
      <w:ind w:left="1200"/>
    </w:pPr>
  </w:style>
  <w:style w:type="paragraph" w:customStyle="1" w:styleId="Variabledefinition">
    <w:name w:val="Variable definition"/>
    <w:basedOn w:val="pD"/>
    <w:rsid w:val="00D842FF"/>
    <w:pPr>
      <w:tabs>
        <w:tab w:val="left" w:pos="720"/>
        <w:tab w:val="left" w:pos="1440"/>
        <w:tab w:val="left" w:pos="2160"/>
      </w:tabs>
      <w:ind w:left="2520" w:hanging="1800"/>
    </w:pPr>
    <w:rPr>
      <w:i/>
      <w:iCs/>
    </w:rPr>
  </w:style>
  <w:style w:type="paragraph" w:customStyle="1" w:styleId="tablefootnote">
    <w:name w:val="table footnote"/>
    <w:basedOn w:val="Normal"/>
    <w:link w:val="tablefootnoteChar"/>
    <w:rsid w:val="008E2E63"/>
    <w:pPr>
      <w:keepNext/>
      <w:keepLines/>
      <w:tabs>
        <w:tab w:val="left" w:pos="274"/>
      </w:tabs>
      <w:spacing w:before="60" w:after="0" w:line="240" w:lineRule="auto"/>
      <w:ind w:left="274" w:hanging="274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F70106"/>
    <w:pPr>
      <w:tabs>
        <w:tab w:val="right" w:leader="dot" w:pos="9000"/>
      </w:tabs>
      <w:spacing w:before="120" w:after="130" w:line="240" w:lineRule="auto"/>
      <w:ind w:left="475" w:right="720" w:hanging="475"/>
    </w:pPr>
    <w:rPr>
      <w:rFonts w:ascii="Arial" w:hAnsi="Arial" w:cs="Arial"/>
    </w:rPr>
  </w:style>
  <w:style w:type="paragraph" w:styleId="BalloonText">
    <w:name w:val="Balloon Text"/>
    <w:basedOn w:val="Normal"/>
    <w:rsid w:val="00D842F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D842FF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842FF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D842FF"/>
    <w:rPr>
      <w:b/>
      <w:bCs/>
    </w:rPr>
  </w:style>
  <w:style w:type="paragraph" w:styleId="DocumentMap">
    <w:name w:val="Document Map"/>
    <w:basedOn w:val="Normal"/>
    <w:rsid w:val="00D842FF"/>
    <w:pPr>
      <w:shd w:val="clear" w:color="auto" w:fill="000080"/>
    </w:pPr>
    <w:rPr>
      <w:rFonts w:ascii="Tahoma" w:hAnsi="Tahoma" w:cs="Tahoma"/>
    </w:rPr>
  </w:style>
  <w:style w:type="character" w:styleId="PageNumber">
    <w:name w:val="page number"/>
    <w:basedOn w:val="DefaultParagraphFont"/>
    <w:rsid w:val="00D842FF"/>
  </w:style>
  <w:style w:type="table" w:styleId="TableGrid">
    <w:name w:val="Table Grid"/>
    <w:basedOn w:val="TableNormal"/>
    <w:uiPriority w:val="59"/>
    <w:rsid w:val="00D842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TitleSub"/>
    <w:link w:val="TitleChar"/>
    <w:uiPriority w:val="10"/>
    <w:qFormat/>
    <w:rsid w:val="00E251FF"/>
    <w:pPr>
      <w:spacing w:after="0" w:line="240" w:lineRule="auto"/>
      <w:contextualSpacing/>
      <w:jc w:val="right"/>
    </w:pPr>
    <w:rPr>
      <w:rFonts w:ascii="Arial" w:hAnsi="Arial"/>
      <w:b/>
      <w:color w:val="17365D"/>
      <w:spacing w:val="5"/>
      <w:kern w:val="28"/>
      <w:sz w:val="40"/>
      <w:szCs w:val="52"/>
    </w:rPr>
  </w:style>
  <w:style w:type="character" w:styleId="Hyperlink">
    <w:name w:val="Hyperlink"/>
    <w:basedOn w:val="DefaultParagraphFont"/>
    <w:rsid w:val="00D842FF"/>
    <w:rPr>
      <w:color w:val="0000FF"/>
      <w:u w:val="single"/>
    </w:rPr>
  </w:style>
  <w:style w:type="paragraph" w:customStyle="1" w:styleId="CEUSIndent5">
    <w:name w:val="CEUS_Indent5"/>
    <w:basedOn w:val="pE"/>
    <w:rsid w:val="00D842FF"/>
    <w:pPr>
      <w:ind w:left="2070" w:hanging="432"/>
    </w:pPr>
    <w:rPr>
      <w:szCs w:val="20"/>
    </w:rPr>
  </w:style>
  <w:style w:type="paragraph" w:styleId="ListBullet2">
    <w:name w:val="List Bullet 2"/>
    <w:basedOn w:val="Normal"/>
    <w:rsid w:val="00D842FF"/>
    <w:pPr>
      <w:numPr>
        <w:numId w:val="35"/>
      </w:numPr>
      <w:contextualSpacing/>
    </w:pPr>
  </w:style>
  <w:style w:type="numbering" w:customStyle="1" w:styleId="Itron">
    <w:name w:val="Itron"/>
    <w:uiPriority w:val="99"/>
    <w:rsid w:val="008F6F18"/>
    <w:pPr>
      <w:numPr>
        <w:numId w:val="10"/>
      </w:numPr>
    </w:pPr>
  </w:style>
  <w:style w:type="numbering" w:customStyle="1" w:styleId="CnAListBullets">
    <w:name w:val="CnAListBullets"/>
    <w:uiPriority w:val="99"/>
    <w:rsid w:val="00D842FF"/>
    <w:pPr>
      <w:numPr>
        <w:numId w:val="11"/>
      </w:numPr>
    </w:pPr>
  </w:style>
  <w:style w:type="paragraph" w:styleId="ListParagraph">
    <w:name w:val="List Paragraph"/>
    <w:basedOn w:val="Normal"/>
    <w:uiPriority w:val="34"/>
    <w:qFormat/>
    <w:rsid w:val="00D842FF"/>
    <w:pPr>
      <w:spacing w:after="80"/>
    </w:pPr>
  </w:style>
  <w:style w:type="paragraph" w:customStyle="1" w:styleId="CoverTitle">
    <w:name w:val="CoverTitle"/>
    <w:basedOn w:val="Normal"/>
    <w:link w:val="CoverTitleChar"/>
    <w:qFormat/>
    <w:rsid w:val="00D842FF"/>
    <w:pPr>
      <w:spacing w:after="120"/>
      <w:jc w:val="center"/>
    </w:pPr>
    <w:rPr>
      <w:rFonts w:ascii="Arial" w:hAnsi="Arial"/>
      <w:b/>
      <w:sz w:val="40"/>
    </w:rPr>
  </w:style>
  <w:style w:type="character" w:customStyle="1" w:styleId="CoverTitleChar">
    <w:name w:val="CoverTitle Char"/>
    <w:basedOn w:val="DefaultParagraphFont"/>
    <w:link w:val="CoverTitle"/>
    <w:rsid w:val="00D842FF"/>
    <w:rPr>
      <w:rFonts w:ascii="Arial" w:hAnsi="Arial"/>
      <w:b/>
      <w:sz w:val="40"/>
      <w:szCs w:val="24"/>
    </w:rPr>
  </w:style>
  <w:style w:type="paragraph" w:customStyle="1" w:styleId="CoverNormal">
    <w:name w:val="CoverNormal"/>
    <w:basedOn w:val="Normal"/>
    <w:link w:val="CoverNormalChar"/>
    <w:qFormat/>
    <w:rsid w:val="00D842FF"/>
    <w:pPr>
      <w:contextualSpacing/>
      <w:jc w:val="center"/>
    </w:pPr>
    <w:rPr>
      <w:rFonts w:ascii="Arial" w:hAnsi="Arial"/>
    </w:rPr>
  </w:style>
  <w:style w:type="character" w:customStyle="1" w:styleId="CoverNormalChar">
    <w:name w:val="CoverNormal Char"/>
    <w:basedOn w:val="DefaultParagraphFont"/>
    <w:link w:val="CoverNormal"/>
    <w:rsid w:val="00D842FF"/>
    <w:rPr>
      <w:rFonts w:ascii="Arial" w:hAnsi="Arial"/>
      <w:sz w:val="24"/>
      <w:szCs w:val="24"/>
    </w:rPr>
  </w:style>
  <w:style w:type="paragraph" w:customStyle="1" w:styleId="Halfline">
    <w:name w:val="Halfline"/>
    <w:basedOn w:val="Normal"/>
    <w:next w:val="Normal"/>
    <w:link w:val="HalflineChar"/>
    <w:qFormat/>
    <w:rsid w:val="00DE632E"/>
    <w:pPr>
      <w:spacing w:after="130" w:line="130" w:lineRule="exact"/>
      <w:jc w:val="left"/>
    </w:pPr>
  </w:style>
  <w:style w:type="character" w:customStyle="1" w:styleId="HalflineChar">
    <w:name w:val="Halfline Char"/>
    <w:basedOn w:val="DefaultParagraphFont"/>
    <w:link w:val="Halfline"/>
    <w:rsid w:val="00DE632E"/>
    <w:rPr>
      <w:rFonts w:ascii="Times New Roman" w:hAnsi="Times New Roman"/>
      <w:sz w:val="24"/>
      <w:szCs w:val="24"/>
    </w:rPr>
  </w:style>
  <w:style w:type="paragraph" w:customStyle="1" w:styleId="LetterheadParagraph">
    <w:name w:val="Letterhead Paragraph"/>
    <w:basedOn w:val="Normal"/>
    <w:qFormat/>
    <w:rsid w:val="00573DEC"/>
    <w:pPr>
      <w:spacing w:after="0"/>
    </w:pPr>
    <w:rPr>
      <w:rFonts w:ascii="Arial Narrow" w:hAnsi="Arial Narrow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491C"/>
    <w:rPr>
      <w:sz w:val="14"/>
    </w:rPr>
  </w:style>
  <w:style w:type="character" w:customStyle="1" w:styleId="tablefootnoteChar">
    <w:name w:val="table footnote Char"/>
    <w:basedOn w:val="DefaultParagraphFont"/>
    <w:link w:val="tablefootnote"/>
    <w:rsid w:val="009D0319"/>
    <w:rPr>
      <w:rFonts w:ascii="Times New Roman" w:hAnsi="Times New Roman"/>
    </w:rPr>
  </w:style>
  <w:style w:type="paragraph" w:customStyle="1" w:styleId="TitleSub">
    <w:name w:val="TitleSub"/>
    <w:basedOn w:val="Title"/>
    <w:link w:val="TitleSubChar"/>
    <w:autoRedefine/>
    <w:qFormat/>
    <w:rsid w:val="00682A57"/>
    <w:rPr>
      <w:b w:val="0"/>
      <w:sz w:val="32"/>
    </w:rPr>
  </w:style>
  <w:style w:type="character" w:customStyle="1" w:styleId="TitleSubChar">
    <w:name w:val="TitleSub Char"/>
    <w:basedOn w:val="TitleChar"/>
    <w:link w:val="TitleSub"/>
    <w:rsid w:val="00682A57"/>
    <w:rPr>
      <w:rFonts w:ascii="Arial" w:hAnsi="Arial"/>
      <w:b/>
      <w:color w:val="17365D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251FF"/>
    <w:rPr>
      <w:rFonts w:ascii="Arial" w:hAnsi="Arial"/>
      <w:b/>
      <w:color w:val="17365D"/>
      <w:spacing w:val="5"/>
      <w:kern w:val="28"/>
      <w:sz w:val="40"/>
      <w:szCs w:val="52"/>
    </w:rPr>
  </w:style>
  <w:style w:type="paragraph" w:customStyle="1" w:styleId="TitleAdd">
    <w:name w:val="TitleAdd"/>
    <w:basedOn w:val="Title"/>
    <w:link w:val="TitleAddChar"/>
    <w:autoRedefine/>
    <w:qFormat/>
    <w:rsid w:val="00682A57"/>
    <w:rPr>
      <w:b w:val="0"/>
      <w:sz w:val="24"/>
      <w:szCs w:val="32"/>
    </w:rPr>
  </w:style>
  <w:style w:type="character" w:customStyle="1" w:styleId="TitleAddChar">
    <w:name w:val="TitleAdd Char"/>
    <w:basedOn w:val="TitleChar"/>
    <w:link w:val="TitleAdd"/>
    <w:rsid w:val="00682A57"/>
    <w:rPr>
      <w:rFonts w:ascii="Arial" w:hAnsi="Arial"/>
      <w:b/>
      <w:color w:val="17365D"/>
      <w:spacing w:val="5"/>
      <w:kern w:val="28"/>
      <w:sz w:val="24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53DF"/>
    <w:rPr>
      <w:rFonts w:ascii="Times New Roman" w:hAnsi="Times New Roman"/>
    </w:rPr>
  </w:style>
  <w:style w:type="table" w:customStyle="1" w:styleId="ItronBasic">
    <w:name w:val="ItronBasic"/>
    <w:basedOn w:val="TableNormal"/>
    <w:uiPriority w:val="99"/>
    <w:qFormat/>
    <w:rsid w:val="00B2276F"/>
    <w:pPr>
      <w:spacing w:after="0" w:line="240" w:lineRule="auto"/>
      <w:ind w:left="0" w:firstLine="0"/>
      <w:jc w:val="left"/>
    </w:p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cBorders>
        <w:shd w:val="clear" w:color="auto" w:fill="D9D9D9" w:themeFill="background1" w:themeFillShade="D9"/>
      </w:tcPr>
    </w:tblStylePr>
  </w:style>
  <w:style w:type="table" w:styleId="TableProfessional">
    <w:name w:val="Table Professional"/>
    <w:basedOn w:val="TableNormal"/>
    <w:rsid w:val="0050194C"/>
    <w:pPr>
      <w:spacing w:after="280"/>
      <w:ind w:left="0" w:firstLine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rsid w:val="0050194C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eastAsiaTheme="minorHAnsi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E31C7"/>
    <w:rPr>
      <w:i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010F38"/>
    <w:pPr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A88D9-54D5-4957-B706-B5E8C641A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2051</Words>
  <Characters>11038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Itron</Company>
  <LinksUpToDate>false</LinksUpToDate>
  <CharactersWithSpaces>13063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Messenger, Mike</dc:creator>
  <cp:lastModifiedBy>ALEXK</cp:lastModifiedBy>
  <cp:revision>3</cp:revision>
  <cp:lastPrinted>2011-11-04T20:06:00Z</cp:lastPrinted>
  <dcterms:created xsi:type="dcterms:W3CDTF">2011-11-07T22:07:00Z</dcterms:created>
  <dcterms:modified xsi:type="dcterms:W3CDTF">2011-11-08T19:36:00Z</dcterms:modified>
</cp:coreProperties>
</file>